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E75BD" w14:textId="77777777" w:rsidR="00D32908" w:rsidRDefault="001965D2" w:rsidP="00894290">
      <w:pPr>
        <w:spacing w:before="191"/>
        <w:ind w:right="126"/>
        <w:rPr>
          <w:rFonts w:ascii="Cambria" w:eastAsia="Cambria" w:hAnsi="Cambria" w:cs="Cambria"/>
          <w:sz w:val="36"/>
          <w:szCs w:val="36"/>
        </w:rPr>
      </w:pPr>
      <w:bookmarkStart w:id="0" w:name="_GoBack"/>
      <w:bookmarkEnd w:id="0"/>
      <w:r>
        <w:rPr>
          <w:rFonts w:ascii="Cambria"/>
          <w:b/>
          <w:color w:val="365F91"/>
          <w:sz w:val="36"/>
        </w:rPr>
        <w:t xml:space="preserve">Implementation </w:t>
      </w:r>
      <w:r w:rsidR="00982195">
        <w:rPr>
          <w:rFonts w:ascii="Cambria"/>
          <w:b/>
          <w:color w:val="365F91"/>
          <w:sz w:val="36"/>
        </w:rPr>
        <w:t xml:space="preserve">Guidance for </w:t>
      </w:r>
      <w:r w:rsidR="006F78B3">
        <w:rPr>
          <w:rFonts w:ascii="Cambria"/>
          <w:b/>
          <w:color w:val="365F91"/>
          <w:sz w:val="36"/>
        </w:rPr>
        <w:t>Beacon Charter School Academy</w:t>
      </w:r>
      <w:r w:rsidR="006F78B3">
        <w:rPr>
          <w:rFonts w:ascii="Cambria"/>
          <w:b/>
          <w:color w:val="365F91"/>
          <w:sz w:val="36"/>
        </w:rPr>
        <w:t>’</w:t>
      </w:r>
      <w:r w:rsidR="006F78B3">
        <w:rPr>
          <w:rFonts w:ascii="Cambria"/>
          <w:b/>
          <w:color w:val="365F91"/>
          <w:sz w:val="36"/>
        </w:rPr>
        <w:t>s Alternative Performance Framework</w:t>
      </w:r>
    </w:p>
    <w:p w14:paraId="79F7CF83" w14:textId="77777777" w:rsidR="00622118" w:rsidRPr="00622118" w:rsidRDefault="00622118" w:rsidP="00622118">
      <w:pPr>
        <w:pStyle w:val="Heading3"/>
        <w:rPr>
          <w:b/>
        </w:rPr>
      </w:pPr>
      <w:bookmarkStart w:id="1" w:name="_Toc474843233"/>
      <w:bookmarkStart w:id="2" w:name="_Toc474940131"/>
      <w:r w:rsidRPr="00622118">
        <w:rPr>
          <w:b/>
        </w:rPr>
        <w:t>Developed by Momentum Strategy &amp; Research</w:t>
      </w:r>
      <w:bookmarkEnd w:id="1"/>
      <w:bookmarkEnd w:id="2"/>
      <w:r w:rsidRPr="00622118">
        <w:rPr>
          <w:b/>
        </w:rPr>
        <w:t xml:space="preserve"> </w:t>
      </w:r>
    </w:p>
    <w:p w14:paraId="32E0DE76" w14:textId="77777777" w:rsidR="00622118" w:rsidRPr="00622118" w:rsidRDefault="001965D2" w:rsidP="00622118">
      <w:pPr>
        <w:pStyle w:val="Heading3"/>
        <w:rPr>
          <w:b/>
        </w:rPr>
      </w:pPr>
      <w:bookmarkStart w:id="3" w:name="_Toc474843234"/>
      <w:bookmarkStart w:id="4" w:name="_Toc474940132"/>
      <w:r>
        <w:rPr>
          <w:b/>
        </w:rPr>
        <w:t xml:space="preserve">for </w:t>
      </w:r>
      <w:r w:rsidR="00C70A00">
        <w:rPr>
          <w:b/>
        </w:rPr>
        <w:t>Beacon Charter Academy</w:t>
      </w:r>
      <w:bookmarkEnd w:id="3"/>
      <w:bookmarkEnd w:id="4"/>
    </w:p>
    <w:p w14:paraId="77C310BB" w14:textId="337E4CD1" w:rsidR="00D32908" w:rsidRPr="00622118" w:rsidRDefault="00C922EF" w:rsidP="00622118">
      <w:pPr>
        <w:pStyle w:val="Heading3"/>
        <w:rPr>
          <w:rFonts w:eastAsia="Calibri"/>
          <w:b/>
        </w:rPr>
      </w:pPr>
      <w:bookmarkStart w:id="5" w:name="_Toc474843235"/>
      <w:bookmarkStart w:id="6" w:name="_Toc474940133"/>
      <w:r>
        <w:rPr>
          <w:b/>
        </w:rPr>
        <w:t>February</w:t>
      </w:r>
      <w:r w:rsidR="003E358E">
        <w:rPr>
          <w:b/>
        </w:rPr>
        <w:t xml:space="preserve"> 2017</w:t>
      </w:r>
      <w:bookmarkEnd w:id="5"/>
      <w:bookmarkEnd w:id="6"/>
    </w:p>
    <w:p w14:paraId="1165DB29" w14:textId="77777777" w:rsidR="00D32908" w:rsidRDefault="00D32908">
      <w:pPr>
        <w:spacing w:before="6"/>
        <w:rPr>
          <w:rFonts w:ascii="Calibri" w:eastAsia="Calibri" w:hAnsi="Calibri" w:cs="Calibri"/>
          <w:sz w:val="17"/>
          <w:szCs w:val="17"/>
        </w:rPr>
      </w:pPr>
    </w:p>
    <w:p w14:paraId="0B9565E0" w14:textId="77777777" w:rsidR="00D32908" w:rsidRDefault="00622118">
      <w:pPr>
        <w:ind w:left="120" w:right="126"/>
        <w:rPr>
          <w:rFonts w:ascii="Cambria" w:eastAsia="Cambria" w:hAnsi="Cambria" w:cs="Cambria"/>
          <w:sz w:val="28"/>
          <w:szCs w:val="28"/>
        </w:rPr>
      </w:pPr>
      <w:r>
        <w:rPr>
          <w:rFonts w:ascii="Cambria"/>
          <w:b/>
          <w:color w:val="365F91"/>
          <w:sz w:val="28"/>
        </w:rPr>
        <w:t>Introduction</w:t>
      </w:r>
    </w:p>
    <w:p w14:paraId="7D71FBC4" w14:textId="77777777" w:rsidR="00D32908" w:rsidRDefault="00622118" w:rsidP="00FE763A">
      <w:pPr>
        <w:pStyle w:val="BodyText"/>
      </w:pPr>
      <w:r>
        <w:t>This document is meant to provide</w:t>
      </w:r>
      <w:r w:rsidR="001965D2">
        <w:t xml:space="preserve"> </w:t>
      </w:r>
      <w:r w:rsidR="00C70A00">
        <w:t xml:space="preserve">Beacon Charter </w:t>
      </w:r>
      <w:r w:rsidR="006F78B3">
        <w:t>Academy</w:t>
      </w:r>
      <w:r w:rsidR="00982195">
        <w:t xml:space="preserve"> </w:t>
      </w:r>
      <w:r>
        <w:t>with the guidance and information that will be need</w:t>
      </w:r>
      <w:r w:rsidR="00B404C2">
        <w:t>ed</w:t>
      </w:r>
      <w:r>
        <w:t xml:space="preserve"> to implement their new</w:t>
      </w:r>
      <w:r w:rsidR="006F78B3">
        <w:t>ly developed alternative performance</w:t>
      </w:r>
      <w:r w:rsidR="00AF274A">
        <w:t xml:space="preserve"> framework.</w:t>
      </w:r>
      <w:r w:rsidR="00CE0029">
        <w:t xml:space="preserve"> Unless otherwise noted, the outcomes of the measures that will be provided are based on students that were en</w:t>
      </w:r>
      <w:r w:rsidR="0012753F">
        <w:t>rolled in Beacon for at least 91</w:t>
      </w:r>
      <w:r w:rsidR="00CE0029">
        <w:t xml:space="preserve"> consecutive days.</w:t>
      </w:r>
    </w:p>
    <w:p w14:paraId="18D493A7" w14:textId="77777777" w:rsidR="008D7068" w:rsidRDefault="008D7068">
      <w:pPr>
        <w:rPr>
          <w:rFonts w:ascii="Calibri" w:eastAsia="Calibri" w:hAnsi="Calibri"/>
          <w:sz w:val="22"/>
          <w:szCs w:val="22"/>
        </w:rPr>
      </w:pPr>
      <w:r>
        <w:br w:type="page"/>
      </w:r>
    </w:p>
    <w:sdt>
      <w:sdtPr>
        <w:rPr>
          <w:caps w:val="0"/>
          <w:color w:val="auto"/>
          <w:spacing w:val="0"/>
          <w:sz w:val="20"/>
          <w:szCs w:val="20"/>
        </w:rPr>
        <w:id w:val="-886262310"/>
        <w:docPartObj>
          <w:docPartGallery w:val="Table of Contents"/>
          <w:docPartUnique/>
        </w:docPartObj>
      </w:sdtPr>
      <w:sdtEndPr>
        <w:rPr>
          <w:rFonts w:cstheme="minorHAnsi"/>
          <w:bCs/>
          <w:noProof/>
        </w:rPr>
      </w:sdtEndPr>
      <w:sdtContent>
        <w:p w14:paraId="2E31347A" w14:textId="77777777" w:rsidR="00903AD0" w:rsidRDefault="008D7068" w:rsidP="008D7068">
          <w:pPr>
            <w:pStyle w:val="TOCHeading"/>
            <w:rPr>
              <w:noProof/>
            </w:rPr>
          </w:pPr>
          <w:r>
            <w:t>Table of Contents</w:t>
          </w:r>
          <w:r>
            <w:fldChar w:fldCharType="begin"/>
          </w:r>
          <w:r>
            <w:instrText xml:space="preserve"> TOC \o "1-3" \h \z \u </w:instrText>
          </w:r>
          <w:r>
            <w:fldChar w:fldCharType="separate"/>
          </w:r>
        </w:p>
        <w:p w14:paraId="30B6F8C0" w14:textId="77777777" w:rsidR="00903AD0" w:rsidRDefault="00F803E0">
          <w:pPr>
            <w:pStyle w:val="TOC1"/>
            <w:tabs>
              <w:tab w:val="right" w:leader="dot" w:pos="9590"/>
            </w:tabs>
            <w:rPr>
              <w:rFonts w:asciiTheme="minorHAnsi" w:eastAsiaTheme="minorEastAsia" w:hAnsiTheme="minorHAnsi"/>
              <w:noProof/>
            </w:rPr>
          </w:pPr>
          <w:hyperlink w:anchor="_Toc474940134" w:history="1">
            <w:r w:rsidR="00903AD0" w:rsidRPr="00660D99">
              <w:rPr>
                <w:rStyle w:val="Hyperlink"/>
                <w:noProof/>
              </w:rPr>
              <w:t>Status Measures 1.a. &amp; 1.b. End of Year Scores on NWEA MAP Reading and Math</w:t>
            </w:r>
            <w:r w:rsidR="00903AD0">
              <w:rPr>
                <w:noProof/>
                <w:webHidden/>
              </w:rPr>
              <w:tab/>
            </w:r>
            <w:r w:rsidR="00903AD0">
              <w:rPr>
                <w:noProof/>
                <w:webHidden/>
              </w:rPr>
              <w:fldChar w:fldCharType="begin"/>
            </w:r>
            <w:r w:rsidR="00903AD0">
              <w:rPr>
                <w:noProof/>
                <w:webHidden/>
              </w:rPr>
              <w:instrText xml:space="preserve"> PAGEREF _Toc474940134 \h </w:instrText>
            </w:r>
            <w:r w:rsidR="00903AD0">
              <w:rPr>
                <w:noProof/>
                <w:webHidden/>
              </w:rPr>
            </w:r>
            <w:r w:rsidR="00903AD0">
              <w:rPr>
                <w:noProof/>
                <w:webHidden/>
              </w:rPr>
              <w:fldChar w:fldCharType="separate"/>
            </w:r>
            <w:r w:rsidR="000A01C0">
              <w:rPr>
                <w:noProof/>
                <w:webHidden/>
              </w:rPr>
              <w:t>3</w:t>
            </w:r>
            <w:r w:rsidR="00903AD0">
              <w:rPr>
                <w:noProof/>
                <w:webHidden/>
              </w:rPr>
              <w:fldChar w:fldCharType="end"/>
            </w:r>
          </w:hyperlink>
        </w:p>
        <w:p w14:paraId="76719BB6" w14:textId="77777777" w:rsidR="00903AD0" w:rsidRDefault="00F803E0">
          <w:pPr>
            <w:pStyle w:val="TOC1"/>
            <w:tabs>
              <w:tab w:val="right" w:leader="dot" w:pos="9590"/>
            </w:tabs>
            <w:rPr>
              <w:rFonts w:asciiTheme="minorHAnsi" w:eastAsiaTheme="minorEastAsia" w:hAnsiTheme="minorHAnsi"/>
              <w:noProof/>
            </w:rPr>
          </w:pPr>
          <w:hyperlink w:anchor="_Toc474940140" w:history="1">
            <w:r w:rsidR="00903AD0" w:rsidRPr="00660D99">
              <w:rPr>
                <w:rStyle w:val="Hyperlink"/>
                <w:noProof/>
              </w:rPr>
              <w:t>Growth Measures 2a and 2b. Growth Using the NWEA MAP Assessments in Math and Reading</w:t>
            </w:r>
            <w:r w:rsidR="00903AD0">
              <w:rPr>
                <w:noProof/>
                <w:webHidden/>
              </w:rPr>
              <w:tab/>
            </w:r>
            <w:r w:rsidR="00903AD0">
              <w:rPr>
                <w:noProof/>
                <w:webHidden/>
              </w:rPr>
              <w:fldChar w:fldCharType="begin"/>
            </w:r>
            <w:r w:rsidR="00903AD0">
              <w:rPr>
                <w:noProof/>
                <w:webHidden/>
              </w:rPr>
              <w:instrText xml:space="preserve"> PAGEREF _Toc474940140 \h </w:instrText>
            </w:r>
            <w:r w:rsidR="00903AD0">
              <w:rPr>
                <w:noProof/>
                <w:webHidden/>
              </w:rPr>
            </w:r>
            <w:r w:rsidR="00903AD0">
              <w:rPr>
                <w:noProof/>
                <w:webHidden/>
              </w:rPr>
              <w:fldChar w:fldCharType="separate"/>
            </w:r>
            <w:r w:rsidR="000A01C0">
              <w:rPr>
                <w:noProof/>
                <w:webHidden/>
              </w:rPr>
              <w:t>7</w:t>
            </w:r>
            <w:r w:rsidR="00903AD0">
              <w:rPr>
                <w:noProof/>
                <w:webHidden/>
              </w:rPr>
              <w:fldChar w:fldCharType="end"/>
            </w:r>
          </w:hyperlink>
        </w:p>
        <w:p w14:paraId="7F6F9DA2" w14:textId="77777777" w:rsidR="00903AD0" w:rsidRDefault="00F803E0">
          <w:pPr>
            <w:pStyle w:val="TOC1"/>
            <w:tabs>
              <w:tab w:val="right" w:leader="dot" w:pos="9590"/>
            </w:tabs>
            <w:rPr>
              <w:rFonts w:asciiTheme="minorHAnsi" w:eastAsiaTheme="minorEastAsia" w:hAnsiTheme="minorHAnsi"/>
              <w:noProof/>
            </w:rPr>
          </w:pPr>
          <w:hyperlink w:anchor="_Toc474940145" w:history="1">
            <w:r w:rsidR="00903AD0" w:rsidRPr="00660D99">
              <w:rPr>
                <w:rStyle w:val="Hyperlink"/>
                <w:noProof/>
              </w:rPr>
              <w:t>College &amp; Career Readiness Measure 3.a. Credits Earned</w:t>
            </w:r>
            <w:r w:rsidR="00903AD0">
              <w:rPr>
                <w:noProof/>
                <w:webHidden/>
              </w:rPr>
              <w:tab/>
            </w:r>
            <w:r w:rsidR="00903AD0">
              <w:rPr>
                <w:noProof/>
                <w:webHidden/>
              </w:rPr>
              <w:fldChar w:fldCharType="begin"/>
            </w:r>
            <w:r w:rsidR="00903AD0">
              <w:rPr>
                <w:noProof/>
                <w:webHidden/>
              </w:rPr>
              <w:instrText xml:space="preserve"> PAGEREF _Toc474940145 \h </w:instrText>
            </w:r>
            <w:r w:rsidR="00903AD0">
              <w:rPr>
                <w:noProof/>
                <w:webHidden/>
              </w:rPr>
            </w:r>
            <w:r w:rsidR="00903AD0">
              <w:rPr>
                <w:noProof/>
                <w:webHidden/>
              </w:rPr>
              <w:fldChar w:fldCharType="separate"/>
            </w:r>
            <w:r w:rsidR="000A01C0">
              <w:rPr>
                <w:noProof/>
                <w:webHidden/>
              </w:rPr>
              <w:t>10</w:t>
            </w:r>
            <w:r w:rsidR="00903AD0">
              <w:rPr>
                <w:noProof/>
                <w:webHidden/>
              </w:rPr>
              <w:fldChar w:fldCharType="end"/>
            </w:r>
          </w:hyperlink>
        </w:p>
        <w:p w14:paraId="77FF4E41" w14:textId="77777777" w:rsidR="00903AD0" w:rsidRDefault="00F803E0">
          <w:pPr>
            <w:pStyle w:val="TOC1"/>
            <w:tabs>
              <w:tab w:val="right" w:leader="dot" w:pos="9590"/>
            </w:tabs>
            <w:rPr>
              <w:rFonts w:asciiTheme="minorHAnsi" w:eastAsiaTheme="minorEastAsia" w:hAnsiTheme="minorHAnsi"/>
              <w:noProof/>
            </w:rPr>
          </w:pPr>
          <w:hyperlink w:anchor="_Toc474940150" w:history="1">
            <w:r w:rsidR="00903AD0" w:rsidRPr="00660D99">
              <w:rPr>
                <w:rStyle w:val="Hyperlink"/>
                <w:noProof/>
              </w:rPr>
              <w:t>College &amp; Career Readiness Measure 3.b. Transition Success</w:t>
            </w:r>
            <w:r w:rsidR="00903AD0">
              <w:rPr>
                <w:noProof/>
                <w:webHidden/>
              </w:rPr>
              <w:tab/>
            </w:r>
            <w:r w:rsidR="00903AD0">
              <w:rPr>
                <w:noProof/>
                <w:webHidden/>
              </w:rPr>
              <w:fldChar w:fldCharType="begin"/>
            </w:r>
            <w:r w:rsidR="00903AD0">
              <w:rPr>
                <w:noProof/>
                <w:webHidden/>
              </w:rPr>
              <w:instrText xml:space="preserve"> PAGEREF _Toc474940150 \h </w:instrText>
            </w:r>
            <w:r w:rsidR="00903AD0">
              <w:rPr>
                <w:noProof/>
                <w:webHidden/>
              </w:rPr>
            </w:r>
            <w:r w:rsidR="00903AD0">
              <w:rPr>
                <w:noProof/>
                <w:webHidden/>
              </w:rPr>
              <w:fldChar w:fldCharType="separate"/>
            </w:r>
            <w:r w:rsidR="000A01C0">
              <w:rPr>
                <w:noProof/>
                <w:webHidden/>
              </w:rPr>
              <w:t>11</w:t>
            </w:r>
            <w:r w:rsidR="00903AD0">
              <w:rPr>
                <w:noProof/>
                <w:webHidden/>
              </w:rPr>
              <w:fldChar w:fldCharType="end"/>
            </w:r>
          </w:hyperlink>
        </w:p>
        <w:p w14:paraId="1869FDF0" w14:textId="77777777" w:rsidR="00903AD0" w:rsidRDefault="00F803E0">
          <w:pPr>
            <w:pStyle w:val="TOC1"/>
            <w:tabs>
              <w:tab w:val="right" w:leader="dot" w:pos="9590"/>
            </w:tabs>
            <w:rPr>
              <w:rFonts w:asciiTheme="minorHAnsi" w:eastAsiaTheme="minorEastAsia" w:hAnsiTheme="minorHAnsi"/>
              <w:noProof/>
            </w:rPr>
          </w:pPr>
          <w:hyperlink w:anchor="_Toc474940156" w:history="1">
            <w:r w:rsidR="00903AD0" w:rsidRPr="00660D99">
              <w:rPr>
                <w:rStyle w:val="Hyperlink"/>
                <w:noProof/>
              </w:rPr>
              <w:t>College &amp; Career Readiness Measure 3.c. Cohort Graduation</w:t>
            </w:r>
            <w:r w:rsidR="00903AD0">
              <w:rPr>
                <w:noProof/>
                <w:webHidden/>
              </w:rPr>
              <w:tab/>
            </w:r>
            <w:r w:rsidR="00903AD0">
              <w:rPr>
                <w:noProof/>
                <w:webHidden/>
              </w:rPr>
              <w:fldChar w:fldCharType="begin"/>
            </w:r>
            <w:r w:rsidR="00903AD0">
              <w:rPr>
                <w:noProof/>
                <w:webHidden/>
              </w:rPr>
              <w:instrText xml:space="preserve"> PAGEREF _Toc474940156 \h </w:instrText>
            </w:r>
            <w:r w:rsidR="00903AD0">
              <w:rPr>
                <w:noProof/>
                <w:webHidden/>
              </w:rPr>
            </w:r>
            <w:r w:rsidR="00903AD0">
              <w:rPr>
                <w:noProof/>
                <w:webHidden/>
              </w:rPr>
              <w:fldChar w:fldCharType="separate"/>
            </w:r>
            <w:r w:rsidR="000A01C0">
              <w:rPr>
                <w:noProof/>
                <w:webHidden/>
              </w:rPr>
              <w:t>13</w:t>
            </w:r>
            <w:r w:rsidR="00903AD0">
              <w:rPr>
                <w:noProof/>
                <w:webHidden/>
              </w:rPr>
              <w:fldChar w:fldCharType="end"/>
            </w:r>
          </w:hyperlink>
        </w:p>
        <w:p w14:paraId="353FB070" w14:textId="349BF7C5" w:rsidR="00903AD0" w:rsidRDefault="00F803E0">
          <w:pPr>
            <w:pStyle w:val="TOC1"/>
            <w:tabs>
              <w:tab w:val="right" w:leader="dot" w:pos="9590"/>
            </w:tabs>
            <w:rPr>
              <w:rFonts w:asciiTheme="minorHAnsi" w:eastAsiaTheme="minorEastAsia" w:hAnsiTheme="minorHAnsi"/>
              <w:noProof/>
            </w:rPr>
          </w:pPr>
          <w:hyperlink w:anchor="_Toc474940157" w:history="1">
            <w:r w:rsidR="00903AD0" w:rsidRPr="00660D99">
              <w:rPr>
                <w:rStyle w:val="Hyperlink"/>
                <w:noProof/>
              </w:rPr>
              <w:t>College &amp; Career R</w:t>
            </w:r>
            <w:r w:rsidR="0068490E">
              <w:rPr>
                <w:rStyle w:val="Hyperlink"/>
                <w:noProof/>
              </w:rPr>
              <w:t>eadiness Measure 3.d. CCR Assessments</w:t>
            </w:r>
            <w:r w:rsidR="00903AD0">
              <w:rPr>
                <w:noProof/>
                <w:webHidden/>
              </w:rPr>
              <w:tab/>
            </w:r>
            <w:r w:rsidR="00903AD0">
              <w:rPr>
                <w:noProof/>
                <w:webHidden/>
              </w:rPr>
              <w:fldChar w:fldCharType="begin"/>
            </w:r>
            <w:r w:rsidR="00903AD0">
              <w:rPr>
                <w:noProof/>
                <w:webHidden/>
              </w:rPr>
              <w:instrText xml:space="preserve"> PAGEREF _Toc474940157 \h </w:instrText>
            </w:r>
            <w:r w:rsidR="00903AD0">
              <w:rPr>
                <w:noProof/>
                <w:webHidden/>
              </w:rPr>
            </w:r>
            <w:r w:rsidR="00903AD0">
              <w:rPr>
                <w:noProof/>
                <w:webHidden/>
              </w:rPr>
              <w:fldChar w:fldCharType="separate"/>
            </w:r>
            <w:r w:rsidR="000A01C0">
              <w:rPr>
                <w:noProof/>
                <w:webHidden/>
              </w:rPr>
              <w:t>13</w:t>
            </w:r>
            <w:r w:rsidR="00903AD0">
              <w:rPr>
                <w:noProof/>
                <w:webHidden/>
              </w:rPr>
              <w:fldChar w:fldCharType="end"/>
            </w:r>
          </w:hyperlink>
        </w:p>
        <w:p w14:paraId="676080C4" w14:textId="77777777" w:rsidR="00903AD0" w:rsidRDefault="00F803E0">
          <w:pPr>
            <w:pStyle w:val="TOC1"/>
            <w:tabs>
              <w:tab w:val="right" w:leader="dot" w:pos="9590"/>
            </w:tabs>
            <w:rPr>
              <w:rFonts w:asciiTheme="minorHAnsi" w:eastAsiaTheme="minorEastAsia" w:hAnsiTheme="minorHAnsi"/>
              <w:noProof/>
            </w:rPr>
          </w:pPr>
          <w:hyperlink w:anchor="_Toc474940160" w:history="1">
            <w:r w:rsidR="00903AD0" w:rsidRPr="00660D99">
              <w:rPr>
                <w:rStyle w:val="Hyperlink"/>
                <w:noProof/>
              </w:rPr>
              <w:t>Student Engagement Measure 4.a. Student Retention</w:t>
            </w:r>
            <w:r w:rsidR="00903AD0">
              <w:rPr>
                <w:noProof/>
                <w:webHidden/>
              </w:rPr>
              <w:tab/>
            </w:r>
            <w:r w:rsidR="00903AD0">
              <w:rPr>
                <w:noProof/>
                <w:webHidden/>
              </w:rPr>
              <w:fldChar w:fldCharType="begin"/>
            </w:r>
            <w:r w:rsidR="00903AD0">
              <w:rPr>
                <w:noProof/>
                <w:webHidden/>
              </w:rPr>
              <w:instrText xml:space="preserve"> PAGEREF _Toc474940160 \h </w:instrText>
            </w:r>
            <w:r w:rsidR="00903AD0">
              <w:rPr>
                <w:noProof/>
                <w:webHidden/>
              </w:rPr>
            </w:r>
            <w:r w:rsidR="00903AD0">
              <w:rPr>
                <w:noProof/>
                <w:webHidden/>
              </w:rPr>
              <w:fldChar w:fldCharType="separate"/>
            </w:r>
            <w:r w:rsidR="000A01C0">
              <w:rPr>
                <w:noProof/>
                <w:webHidden/>
              </w:rPr>
              <w:t>15</w:t>
            </w:r>
            <w:r w:rsidR="00903AD0">
              <w:rPr>
                <w:noProof/>
                <w:webHidden/>
              </w:rPr>
              <w:fldChar w:fldCharType="end"/>
            </w:r>
          </w:hyperlink>
        </w:p>
        <w:p w14:paraId="7C38D55D" w14:textId="77777777" w:rsidR="006430D0" w:rsidRPr="006430D0" w:rsidRDefault="00F803E0">
          <w:pPr>
            <w:pStyle w:val="TOC1"/>
            <w:tabs>
              <w:tab w:val="right" w:leader="dot" w:pos="9590"/>
            </w:tabs>
            <w:rPr>
              <w:noProof/>
              <w:color w:val="0000FF" w:themeColor="hyperlink"/>
              <w:u w:val="single"/>
            </w:rPr>
          </w:pPr>
          <w:hyperlink w:anchor="_Toc474940166" w:history="1">
            <w:r w:rsidR="00903AD0" w:rsidRPr="00660D99">
              <w:rPr>
                <w:rStyle w:val="Hyperlink"/>
                <w:noProof/>
              </w:rPr>
              <w:t>Student Engagement Measure 4.b. Student Attendance</w:t>
            </w:r>
            <w:r w:rsidR="00903AD0">
              <w:rPr>
                <w:noProof/>
                <w:webHidden/>
              </w:rPr>
              <w:tab/>
            </w:r>
            <w:r w:rsidR="00903AD0">
              <w:rPr>
                <w:noProof/>
                <w:webHidden/>
              </w:rPr>
              <w:fldChar w:fldCharType="begin"/>
            </w:r>
            <w:r w:rsidR="00903AD0">
              <w:rPr>
                <w:noProof/>
                <w:webHidden/>
              </w:rPr>
              <w:instrText xml:space="preserve"> PAGEREF _Toc474940166 \h </w:instrText>
            </w:r>
            <w:r w:rsidR="00903AD0">
              <w:rPr>
                <w:noProof/>
                <w:webHidden/>
              </w:rPr>
            </w:r>
            <w:r w:rsidR="00903AD0">
              <w:rPr>
                <w:noProof/>
                <w:webHidden/>
              </w:rPr>
              <w:fldChar w:fldCharType="separate"/>
            </w:r>
            <w:r w:rsidR="000A01C0">
              <w:rPr>
                <w:noProof/>
                <w:webHidden/>
              </w:rPr>
              <w:t>16</w:t>
            </w:r>
            <w:r w:rsidR="00903AD0">
              <w:rPr>
                <w:noProof/>
                <w:webHidden/>
              </w:rPr>
              <w:fldChar w:fldCharType="end"/>
            </w:r>
          </w:hyperlink>
        </w:p>
        <w:p w14:paraId="2B5E3BC9" w14:textId="77777777" w:rsidR="00903AD0" w:rsidRDefault="00F803E0">
          <w:pPr>
            <w:pStyle w:val="TOC1"/>
            <w:tabs>
              <w:tab w:val="right" w:leader="dot" w:pos="9590"/>
            </w:tabs>
            <w:rPr>
              <w:rStyle w:val="Hyperlink"/>
              <w:noProof/>
            </w:rPr>
          </w:pPr>
          <w:hyperlink w:anchor="_Toc474940172" w:history="1">
            <w:r w:rsidR="00903AD0" w:rsidRPr="00660D99">
              <w:rPr>
                <w:rStyle w:val="Hyperlink"/>
                <w:noProof/>
              </w:rPr>
              <w:t>Overall School Rating and Designation</w:t>
            </w:r>
            <w:r w:rsidR="00903AD0">
              <w:rPr>
                <w:noProof/>
                <w:webHidden/>
              </w:rPr>
              <w:tab/>
            </w:r>
            <w:r w:rsidR="00903AD0">
              <w:rPr>
                <w:noProof/>
                <w:webHidden/>
              </w:rPr>
              <w:fldChar w:fldCharType="begin"/>
            </w:r>
            <w:r w:rsidR="00903AD0">
              <w:rPr>
                <w:noProof/>
                <w:webHidden/>
              </w:rPr>
              <w:instrText xml:space="preserve"> PAGEREF _Toc474940172 \h </w:instrText>
            </w:r>
            <w:r w:rsidR="00903AD0">
              <w:rPr>
                <w:noProof/>
                <w:webHidden/>
              </w:rPr>
            </w:r>
            <w:r w:rsidR="00903AD0">
              <w:rPr>
                <w:noProof/>
                <w:webHidden/>
              </w:rPr>
              <w:fldChar w:fldCharType="separate"/>
            </w:r>
            <w:r w:rsidR="000A01C0">
              <w:rPr>
                <w:noProof/>
                <w:webHidden/>
              </w:rPr>
              <w:t>18</w:t>
            </w:r>
            <w:r w:rsidR="00903AD0">
              <w:rPr>
                <w:noProof/>
                <w:webHidden/>
              </w:rPr>
              <w:fldChar w:fldCharType="end"/>
            </w:r>
          </w:hyperlink>
        </w:p>
        <w:p w14:paraId="5928502E" w14:textId="77777777" w:rsidR="006430D0" w:rsidRDefault="006430D0">
          <w:pPr>
            <w:pStyle w:val="TOC1"/>
            <w:tabs>
              <w:tab w:val="right" w:leader="dot" w:pos="9590"/>
            </w:tabs>
            <w:rPr>
              <w:rStyle w:val="Hyperlink"/>
              <w:noProof/>
            </w:rPr>
          </w:pPr>
        </w:p>
        <w:p w14:paraId="7A98DD75" w14:textId="77777777" w:rsidR="006430D0" w:rsidRDefault="006430D0">
          <w:pPr>
            <w:pStyle w:val="TOC1"/>
            <w:tabs>
              <w:tab w:val="right" w:leader="dot" w:pos="9590"/>
            </w:tabs>
            <w:rPr>
              <w:rFonts w:asciiTheme="minorHAnsi" w:eastAsiaTheme="minorEastAsia" w:hAnsiTheme="minorHAnsi"/>
              <w:noProof/>
            </w:rPr>
          </w:pPr>
          <w:r w:rsidRPr="008D7068">
            <w:rPr>
              <w:rFonts w:cstheme="minorHAnsi"/>
              <w:bCs/>
              <w:noProof/>
            </w:rPr>
            <w:t>2019-2020 Re-Evaluation and Considerations</w:t>
          </w:r>
          <w:r>
            <w:rPr>
              <w:rFonts w:cstheme="minorHAnsi"/>
              <w:bCs/>
              <w:noProof/>
            </w:rPr>
            <w:t xml:space="preserve"> …………………………………………………………………………………….</w:t>
          </w:r>
          <w:r w:rsidR="00B0199C">
            <w:rPr>
              <w:rFonts w:cstheme="minorHAnsi"/>
              <w:bCs/>
              <w:noProof/>
            </w:rPr>
            <w:t>20</w:t>
          </w:r>
        </w:p>
        <w:p w14:paraId="7D3C22E5" w14:textId="77777777" w:rsidR="00903AD0" w:rsidRDefault="00F803E0">
          <w:pPr>
            <w:pStyle w:val="TOC1"/>
            <w:tabs>
              <w:tab w:val="right" w:leader="dot" w:pos="9590"/>
            </w:tabs>
            <w:rPr>
              <w:rFonts w:asciiTheme="minorHAnsi" w:eastAsiaTheme="minorEastAsia" w:hAnsiTheme="minorHAnsi"/>
              <w:noProof/>
            </w:rPr>
          </w:pPr>
          <w:hyperlink w:anchor="_Toc474940178" w:history="1">
            <w:r w:rsidR="00903AD0" w:rsidRPr="00660D99">
              <w:rPr>
                <w:rStyle w:val="Hyperlink"/>
                <w:noProof/>
              </w:rPr>
              <w:t>Student Engagement Measure 4.c. Chronic absence/Truancy</w:t>
            </w:r>
            <w:r w:rsidR="00903AD0">
              <w:rPr>
                <w:noProof/>
                <w:webHidden/>
              </w:rPr>
              <w:tab/>
            </w:r>
            <w:r w:rsidR="00903AD0">
              <w:rPr>
                <w:noProof/>
                <w:webHidden/>
              </w:rPr>
              <w:fldChar w:fldCharType="begin"/>
            </w:r>
            <w:r w:rsidR="00903AD0">
              <w:rPr>
                <w:noProof/>
                <w:webHidden/>
              </w:rPr>
              <w:instrText xml:space="preserve"> PAGEREF _Toc474940178 \h </w:instrText>
            </w:r>
            <w:r w:rsidR="00903AD0">
              <w:rPr>
                <w:noProof/>
                <w:webHidden/>
              </w:rPr>
            </w:r>
            <w:r w:rsidR="00903AD0">
              <w:rPr>
                <w:noProof/>
                <w:webHidden/>
              </w:rPr>
              <w:fldChar w:fldCharType="separate"/>
            </w:r>
            <w:r w:rsidR="000A01C0">
              <w:rPr>
                <w:noProof/>
                <w:webHidden/>
              </w:rPr>
              <w:t>21</w:t>
            </w:r>
            <w:r w:rsidR="00903AD0">
              <w:rPr>
                <w:noProof/>
                <w:webHidden/>
              </w:rPr>
              <w:fldChar w:fldCharType="end"/>
            </w:r>
          </w:hyperlink>
        </w:p>
        <w:p w14:paraId="0713A494" w14:textId="77777777" w:rsidR="00903AD0" w:rsidRDefault="00F803E0">
          <w:pPr>
            <w:pStyle w:val="TOC1"/>
            <w:tabs>
              <w:tab w:val="right" w:leader="dot" w:pos="9590"/>
            </w:tabs>
            <w:rPr>
              <w:rFonts w:asciiTheme="minorHAnsi" w:eastAsiaTheme="minorEastAsia" w:hAnsiTheme="minorHAnsi"/>
              <w:noProof/>
            </w:rPr>
          </w:pPr>
          <w:hyperlink w:anchor="_Toc474940180" w:history="1">
            <w:r w:rsidR="00903AD0" w:rsidRPr="00660D99">
              <w:rPr>
                <w:rStyle w:val="Hyperlink"/>
                <w:noProof/>
              </w:rPr>
              <w:t>School Culture Measure 5.a. Student Well-Being</w:t>
            </w:r>
            <w:r w:rsidR="00903AD0">
              <w:rPr>
                <w:noProof/>
                <w:webHidden/>
              </w:rPr>
              <w:tab/>
            </w:r>
            <w:r w:rsidR="00903AD0">
              <w:rPr>
                <w:noProof/>
                <w:webHidden/>
              </w:rPr>
              <w:fldChar w:fldCharType="begin"/>
            </w:r>
            <w:r w:rsidR="00903AD0">
              <w:rPr>
                <w:noProof/>
                <w:webHidden/>
              </w:rPr>
              <w:instrText xml:space="preserve"> PAGEREF _Toc474940180 \h </w:instrText>
            </w:r>
            <w:r w:rsidR="00903AD0">
              <w:rPr>
                <w:noProof/>
                <w:webHidden/>
              </w:rPr>
            </w:r>
            <w:r w:rsidR="00903AD0">
              <w:rPr>
                <w:noProof/>
                <w:webHidden/>
              </w:rPr>
              <w:fldChar w:fldCharType="separate"/>
            </w:r>
            <w:r w:rsidR="000A01C0">
              <w:rPr>
                <w:noProof/>
                <w:webHidden/>
              </w:rPr>
              <w:t>22</w:t>
            </w:r>
            <w:r w:rsidR="00903AD0">
              <w:rPr>
                <w:noProof/>
                <w:webHidden/>
              </w:rPr>
              <w:fldChar w:fldCharType="end"/>
            </w:r>
          </w:hyperlink>
        </w:p>
        <w:p w14:paraId="179D7F22" w14:textId="77777777" w:rsidR="00903AD0" w:rsidRDefault="00F803E0">
          <w:pPr>
            <w:pStyle w:val="TOC1"/>
            <w:tabs>
              <w:tab w:val="right" w:leader="dot" w:pos="9590"/>
            </w:tabs>
            <w:rPr>
              <w:rFonts w:asciiTheme="minorHAnsi" w:eastAsiaTheme="minorEastAsia" w:hAnsiTheme="minorHAnsi"/>
              <w:noProof/>
            </w:rPr>
          </w:pPr>
          <w:hyperlink w:anchor="_Toc474940181" w:history="1">
            <w:r w:rsidR="00903AD0" w:rsidRPr="00660D99">
              <w:rPr>
                <w:rStyle w:val="Hyperlink"/>
                <w:noProof/>
              </w:rPr>
              <w:t>School Culture Measure 5.b. School Support</w:t>
            </w:r>
            <w:r w:rsidR="00903AD0">
              <w:rPr>
                <w:noProof/>
                <w:webHidden/>
              </w:rPr>
              <w:tab/>
            </w:r>
            <w:r w:rsidR="00903AD0">
              <w:rPr>
                <w:noProof/>
                <w:webHidden/>
              </w:rPr>
              <w:fldChar w:fldCharType="begin"/>
            </w:r>
            <w:r w:rsidR="00903AD0">
              <w:rPr>
                <w:noProof/>
                <w:webHidden/>
              </w:rPr>
              <w:instrText xml:space="preserve"> PAGEREF _Toc474940181 \h </w:instrText>
            </w:r>
            <w:r w:rsidR="00903AD0">
              <w:rPr>
                <w:noProof/>
                <w:webHidden/>
              </w:rPr>
            </w:r>
            <w:r w:rsidR="00903AD0">
              <w:rPr>
                <w:noProof/>
                <w:webHidden/>
              </w:rPr>
              <w:fldChar w:fldCharType="separate"/>
            </w:r>
            <w:r w:rsidR="000A01C0">
              <w:rPr>
                <w:noProof/>
                <w:webHidden/>
              </w:rPr>
              <w:t>22</w:t>
            </w:r>
            <w:r w:rsidR="00903AD0">
              <w:rPr>
                <w:noProof/>
                <w:webHidden/>
              </w:rPr>
              <w:fldChar w:fldCharType="end"/>
            </w:r>
          </w:hyperlink>
        </w:p>
        <w:p w14:paraId="10230C21" w14:textId="77777777" w:rsidR="00903AD0" w:rsidRDefault="00F803E0">
          <w:pPr>
            <w:pStyle w:val="TOC1"/>
            <w:tabs>
              <w:tab w:val="right" w:leader="dot" w:pos="9590"/>
            </w:tabs>
            <w:rPr>
              <w:rFonts w:asciiTheme="minorHAnsi" w:eastAsiaTheme="minorEastAsia" w:hAnsiTheme="minorHAnsi"/>
              <w:noProof/>
            </w:rPr>
          </w:pPr>
          <w:hyperlink w:anchor="_Toc474940182" w:history="1">
            <w:r w:rsidR="00903AD0" w:rsidRPr="00660D99">
              <w:rPr>
                <w:rStyle w:val="Hyperlink"/>
                <w:noProof/>
              </w:rPr>
              <w:t>School Culture Measure 5.c. Student Behavior</w:t>
            </w:r>
            <w:r w:rsidR="00903AD0">
              <w:rPr>
                <w:noProof/>
                <w:webHidden/>
              </w:rPr>
              <w:tab/>
            </w:r>
            <w:r w:rsidR="00903AD0">
              <w:rPr>
                <w:noProof/>
                <w:webHidden/>
              </w:rPr>
              <w:fldChar w:fldCharType="begin"/>
            </w:r>
            <w:r w:rsidR="00903AD0">
              <w:rPr>
                <w:noProof/>
                <w:webHidden/>
              </w:rPr>
              <w:instrText xml:space="preserve"> PAGEREF _Toc474940182 \h </w:instrText>
            </w:r>
            <w:r w:rsidR="00903AD0">
              <w:rPr>
                <w:noProof/>
                <w:webHidden/>
              </w:rPr>
            </w:r>
            <w:r w:rsidR="00903AD0">
              <w:rPr>
                <w:noProof/>
                <w:webHidden/>
              </w:rPr>
              <w:fldChar w:fldCharType="separate"/>
            </w:r>
            <w:r w:rsidR="000A01C0">
              <w:rPr>
                <w:noProof/>
                <w:webHidden/>
              </w:rPr>
              <w:t>22</w:t>
            </w:r>
            <w:r w:rsidR="00903AD0">
              <w:rPr>
                <w:noProof/>
                <w:webHidden/>
              </w:rPr>
              <w:fldChar w:fldCharType="end"/>
            </w:r>
          </w:hyperlink>
        </w:p>
        <w:p w14:paraId="2B94FA1F" w14:textId="77777777" w:rsidR="008D7068" w:rsidRPr="008D7068" w:rsidRDefault="008D7068">
          <w:pPr>
            <w:rPr>
              <w:rFonts w:cstheme="minorHAnsi"/>
              <w:sz w:val="22"/>
              <w:szCs w:val="22"/>
            </w:rPr>
          </w:pPr>
          <w:r>
            <w:rPr>
              <w:b/>
              <w:bCs/>
              <w:noProof/>
            </w:rPr>
            <w:fldChar w:fldCharType="end"/>
          </w:r>
          <w:r w:rsidRPr="008D7068">
            <w:rPr>
              <w:rFonts w:cstheme="minorHAnsi"/>
              <w:bCs/>
              <w:noProof/>
              <w:sz w:val="22"/>
              <w:szCs w:val="22"/>
            </w:rPr>
            <w:t xml:space="preserve">       </w:t>
          </w:r>
        </w:p>
      </w:sdtContent>
    </w:sdt>
    <w:p w14:paraId="0D4C5094" w14:textId="77777777" w:rsidR="00FE763A" w:rsidRPr="00FE763A" w:rsidRDefault="00FE763A" w:rsidP="00FE763A">
      <w:pPr>
        <w:pStyle w:val="BodyText"/>
      </w:pPr>
    </w:p>
    <w:p w14:paraId="43BC0506" w14:textId="77777777" w:rsidR="00D32908" w:rsidRDefault="00D32908"/>
    <w:p w14:paraId="1F19870E" w14:textId="77777777" w:rsidR="00D32908" w:rsidRDefault="008D7068" w:rsidP="000B59CE">
      <w:pPr>
        <w:tabs>
          <w:tab w:val="left" w:pos="5790"/>
        </w:tabs>
        <w:sectPr w:rsidR="00D32908" w:rsidSect="003554B0">
          <w:footerReference w:type="default" r:id="rId9"/>
          <w:headerReference w:type="first" r:id="rId10"/>
          <w:type w:val="continuous"/>
          <w:pgSz w:w="12240" w:h="15840"/>
          <w:pgMar w:top="1500" w:right="1320" w:bottom="940" w:left="1320" w:header="720" w:footer="748" w:gutter="0"/>
          <w:pgNumType w:start="1"/>
          <w:cols w:space="720"/>
          <w:titlePg/>
          <w:docGrid w:linePitch="272"/>
        </w:sectPr>
      </w:pPr>
      <w:r>
        <w:tab/>
      </w:r>
      <w:r w:rsidR="000B59CE">
        <w:tab/>
      </w:r>
    </w:p>
    <w:p w14:paraId="315EEFB1" w14:textId="77777777" w:rsidR="00D32908" w:rsidRPr="00725765" w:rsidRDefault="007D62EA" w:rsidP="00725765">
      <w:pPr>
        <w:pStyle w:val="Heading1"/>
        <w:tabs>
          <w:tab w:val="left" w:pos="4984"/>
        </w:tabs>
        <w:spacing w:before="118"/>
        <w:ind w:left="119" w:right="1130"/>
        <w:rPr>
          <w:b/>
          <w:bCs/>
        </w:rPr>
      </w:pPr>
      <w:bookmarkStart w:id="7" w:name="_Toc474838418"/>
      <w:bookmarkStart w:id="8" w:name="_Toc474940134"/>
      <w:r>
        <w:lastRenderedPageBreak/>
        <w:t>Status Measures</w:t>
      </w:r>
      <w:r w:rsidR="008B4835" w:rsidRPr="00725765">
        <w:t xml:space="preserve"> </w:t>
      </w:r>
      <w:r w:rsidR="001C5217">
        <w:t>1.a</w:t>
      </w:r>
      <w:r w:rsidR="001965D2">
        <w:t xml:space="preserve">. </w:t>
      </w:r>
      <w:r w:rsidR="00DF2E0E">
        <w:t>&amp; 1.b.</w:t>
      </w:r>
      <w:r w:rsidR="00B62B50">
        <w:t xml:space="preserve"> End of Year Scores on </w:t>
      </w:r>
      <w:bookmarkEnd w:id="7"/>
      <w:r>
        <w:t>NWEA MAP Reading and Math</w:t>
      </w:r>
      <w:bookmarkEnd w:id="8"/>
    </w:p>
    <w:p w14:paraId="221E1758" w14:textId="77777777" w:rsidR="00B62B50" w:rsidRDefault="006B641C" w:rsidP="00B5481C">
      <w:pPr>
        <w:rPr>
          <w:sz w:val="22"/>
          <w:szCs w:val="22"/>
        </w:rPr>
      </w:pPr>
      <w:r>
        <w:rPr>
          <w:sz w:val="22"/>
          <w:szCs w:val="22"/>
          <w:u w:val="single" w:color="000000"/>
        </w:rPr>
        <w:t>Metric</w:t>
      </w:r>
      <w:r w:rsidR="00622118" w:rsidRPr="00B5481C">
        <w:rPr>
          <w:sz w:val="22"/>
          <w:szCs w:val="22"/>
          <w:u w:color="000000"/>
        </w:rPr>
        <w:t>:</w:t>
      </w:r>
      <w:r w:rsidR="00B62B50">
        <w:rPr>
          <w:sz w:val="22"/>
          <w:szCs w:val="22"/>
          <w:u w:color="000000"/>
        </w:rPr>
        <w:t xml:space="preserve"> </w:t>
      </w:r>
      <w:r w:rsidR="00B37CC5">
        <w:rPr>
          <w:sz w:val="22"/>
          <w:szCs w:val="22"/>
          <w:u w:color="000000"/>
        </w:rPr>
        <w:t>Difference in the a</w:t>
      </w:r>
      <w:r w:rsidR="00B62B50">
        <w:rPr>
          <w:sz w:val="22"/>
          <w:szCs w:val="22"/>
          <w:u w:color="000000"/>
        </w:rPr>
        <w:t>verage end of year scale scores in math and reading compared to nationally normed group of similar students.</w:t>
      </w:r>
    </w:p>
    <w:p w14:paraId="77724DBA" w14:textId="77777777" w:rsidR="008B4835" w:rsidRPr="00A01FD8" w:rsidRDefault="00B62B50" w:rsidP="00B5481C">
      <w:pPr>
        <w:rPr>
          <w:sz w:val="22"/>
          <w:szCs w:val="22"/>
        </w:rPr>
      </w:pPr>
      <w:r>
        <w:rPr>
          <w:sz w:val="22"/>
          <w:szCs w:val="22"/>
          <w:u w:val="single"/>
        </w:rPr>
        <w:t>A</w:t>
      </w:r>
      <w:r w:rsidR="005C3ADC" w:rsidRPr="005C3ADC">
        <w:rPr>
          <w:sz w:val="22"/>
          <w:szCs w:val="22"/>
          <w:u w:val="single"/>
        </w:rPr>
        <w:t>pplicable</w:t>
      </w:r>
      <w:r w:rsidR="005C3ADC">
        <w:rPr>
          <w:sz w:val="22"/>
          <w:szCs w:val="22"/>
          <w:u w:val="single"/>
        </w:rPr>
        <w:t xml:space="preserve"> grade levels:</w:t>
      </w:r>
      <w:r>
        <w:rPr>
          <w:sz w:val="22"/>
          <w:szCs w:val="22"/>
        </w:rPr>
        <w:t xml:space="preserve"> All grades, all students</w:t>
      </w:r>
    </w:p>
    <w:p w14:paraId="771CD2B3" w14:textId="77777777" w:rsidR="006C48A5" w:rsidRDefault="00B62B50" w:rsidP="00B62B50">
      <w:pPr>
        <w:rPr>
          <w:sz w:val="22"/>
          <w:szCs w:val="22"/>
        </w:rPr>
      </w:pPr>
      <w:r>
        <w:rPr>
          <w:sz w:val="22"/>
          <w:szCs w:val="22"/>
          <w:u w:val="single"/>
        </w:rPr>
        <w:t>Selected Assessments</w:t>
      </w:r>
      <w:r>
        <w:rPr>
          <w:sz w:val="22"/>
          <w:szCs w:val="22"/>
        </w:rPr>
        <w:t>: Northwest Education Association’s Measures of Academic Progress (NWEA MAP)</w:t>
      </w:r>
      <w:r w:rsidR="00A27F06">
        <w:rPr>
          <w:sz w:val="22"/>
          <w:szCs w:val="22"/>
        </w:rPr>
        <w:t xml:space="preserve"> in reading and mathematics</w:t>
      </w:r>
    </w:p>
    <w:p w14:paraId="27CC203B" w14:textId="77777777" w:rsidR="00A27F06" w:rsidRDefault="00A27F06" w:rsidP="00B62B50">
      <w:pPr>
        <w:rPr>
          <w:sz w:val="22"/>
          <w:szCs w:val="22"/>
        </w:rPr>
      </w:pPr>
      <w:r>
        <w:rPr>
          <w:sz w:val="22"/>
          <w:szCs w:val="22"/>
        </w:rPr>
        <w:t>NWEA MAP is a widely used set of assessments which is popular with alternative schools because schools can measure students’ academic skill up to three times during the typical academic year (summer assessment is an additional option). As such, schools not only receive snapshots of how students are performing academically throughout the year but scale scores (called RIT, for Raush Unit) can also be used to determine how students’ academic skills have progressed overtime.</w:t>
      </w:r>
    </w:p>
    <w:p w14:paraId="5CFD2D02" w14:textId="77777777" w:rsidR="00597547" w:rsidRDefault="00597547" w:rsidP="00B62B50">
      <w:pPr>
        <w:rPr>
          <w:sz w:val="22"/>
          <w:szCs w:val="22"/>
        </w:rPr>
      </w:pPr>
      <w:r w:rsidRPr="00597547">
        <w:rPr>
          <w:sz w:val="22"/>
          <w:szCs w:val="22"/>
          <w:u w:val="single"/>
        </w:rPr>
        <w:t>Normative data:</w:t>
      </w:r>
      <w:r>
        <w:rPr>
          <w:sz w:val="22"/>
          <w:szCs w:val="22"/>
        </w:rPr>
        <w:t xml:space="preserve"> </w:t>
      </w:r>
      <w:r w:rsidR="000970C5">
        <w:rPr>
          <w:sz w:val="22"/>
          <w:szCs w:val="22"/>
        </w:rPr>
        <w:t xml:space="preserve">Due to its popularity with alternative schools, Momentum Strategy &amp; Research (Momentum) has conducted a series of studies exploring the typical performance and growth trends for alternative schools and students across the country. In Momentum’s </w:t>
      </w:r>
      <w:r w:rsidR="000970C5" w:rsidRPr="000970C5">
        <w:rPr>
          <w:i/>
          <w:sz w:val="22"/>
          <w:szCs w:val="22"/>
        </w:rPr>
        <w:t>2015 Alternative Norms Using NWEA</w:t>
      </w:r>
      <w:r w:rsidR="000970C5">
        <w:rPr>
          <w:i/>
          <w:sz w:val="22"/>
          <w:szCs w:val="22"/>
        </w:rPr>
        <w:t xml:space="preserve"> </w:t>
      </w:r>
      <w:r w:rsidR="000970C5">
        <w:rPr>
          <w:sz w:val="22"/>
          <w:szCs w:val="22"/>
        </w:rPr>
        <w:t>report</w:t>
      </w:r>
      <w:r>
        <w:rPr>
          <w:sz w:val="22"/>
          <w:szCs w:val="22"/>
        </w:rPr>
        <w:t xml:space="preserve"> a sample of over 300 alternative schools that also use NWEA assessments were studied to arrive at the typical performance of students in each grade level. Like the NWEA normative data, the data based on the alternative student norming sample can be used to assess whether students attending specific schools are performing at least as well as the average alternative students in each grade level. </w:t>
      </w:r>
    </w:p>
    <w:p w14:paraId="77B47AB1" w14:textId="77777777" w:rsidR="000970C5" w:rsidRDefault="00597547" w:rsidP="00B62B50">
      <w:pPr>
        <w:rPr>
          <w:sz w:val="22"/>
          <w:szCs w:val="22"/>
        </w:rPr>
      </w:pPr>
      <w:r>
        <w:rPr>
          <w:sz w:val="22"/>
          <w:szCs w:val="22"/>
        </w:rPr>
        <w:t>The NWEA normative data for alternative students in grades 9-12 are provided below for NWEA MAP math and reading assessments. Results for both</w:t>
      </w:r>
      <w:r w:rsidR="00B7200A">
        <w:rPr>
          <w:sz w:val="22"/>
          <w:szCs w:val="22"/>
        </w:rPr>
        <w:t xml:space="preserve"> winter and s</w:t>
      </w:r>
      <w:r>
        <w:rPr>
          <w:sz w:val="22"/>
          <w:szCs w:val="22"/>
        </w:rPr>
        <w:t>pring are provided so that the school is able to also use data for students that assessed in the winter assessment window, but left the school prior to the spring assessment window.</w:t>
      </w:r>
    </w:p>
    <w:tbl>
      <w:tblPr>
        <w:tblW w:w="7883" w:type="dxa"/>
        <w:jc w:val="center"/>
        <w:tblLook w:val="04A0" w:firstRow="1" w:lastRow="0" w:firstColumn="1" w:lastColumn="0" w:noHBand="0" w:noVBand="1"/>
      </w:tblPr>
      <w:tblGrid>
        <w:gridCol w:w="2179"/>
        <w:gridCol w:w="2852"/>
        <w:gridCol w:w="2852"/>
      </w:tblGrid>
      <w:tr w:rsidR="00597547" w:rsidRPr="00597547" w14:paraId="1708DFE8" w14:textId="77777777" w:rsidTr="00B7200A">
        <w:trPr>
          <w:trHeight w:val="300"/>
          <w:jc w:val="center"/>
        </w:trPr>
        <w:tc>
          <w:tcPr>
            <w:tcW w:w="788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D3D7C1" w14:textId="77777777" w:rsidR="00597547" w:rsidRPr="00597547" w:rsidRDefault="00597547" w:rsidP="00597547">
            <w:pPr>
              <w:spacing w:before="0" w:after="0" w:line="240" w:lineRule="auto"/>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Average Winter and Spring Math RIT for Alternative Students by Grade</w:t>
            </w:r>
          </w:p>
        </w:tc>
      </w:tr>
      <w:tr w:rsidR="00597547" w:rsidRPr="00597547" w14:paraId="1CCA5ABD"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4A82841F" w14:textId="77777777" w:rsidR="00597547" w:rsidRPr="00597547" w:rsidRDefault="00597547" w:rsidP="00597547">
            <w:pPr>
              <w:spacing w:before="0" w:after="0" w:line="240" w:lineRule="auto"/>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 </w:t>
            </w:r>
          </w:p>
        </w:tc>
        <w:tc>
          <w:tcPr>
            <w:tcW w:w="2852" w:type="dxa"/>
            <w:tcBorders>
              <w:top w:val="nil"/>
              <w:left w:val="nil"/>
              <w:bottom w:val="nil"/>
              <w:right w:val="nil"/>
            </w:tcBorders>
            <w:shd w:val="clear" w:color="000000" w:fill="FCE4D6"/>
            <w:noWrap/>
            <w:vAlign w:val="center"/>
            <w:hideMark/>
          </w:tcPr>
          <w:p w14:paraId="0C1385FC"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Winter (Mid-Year)</w:t>
            </w:r>
          </w:p>
        </w:tc>
        <w:tc>
          <w:tcPr>
            <w:tcW w:w="2852" w:type="dxa"/>
            <w:tcBorders>
              <w:top w:val="nil"/>
              <w:left w:val="nil"/>
              <w:bottom w:val="nil"/>
              <w:right w:val="single" w:sz="8" w:space="0" w:color="auto"/>
            </w:tcBorders>
            <w:shd w:val="clear" w:color="000000" w:fill="E2EFDA"/>
            <w:noWrap/>
            <w:vAlign w:val="center"/>
            <w:hideMark/>
          </w:tcPr>
          <w:p w14:paraId="6407DD86"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Spring (End-Year)</w:t>
            </w:r>
          </w:p>
        </w:tc>
      </w:tr>
      <w:tr w:rsidR="00597547" w:rsidRPr="00597547" w14:paraId="542D8CB5" w14:textId="77777777" w:rsidTr="00B7200A">
        <w:trPr>
          <w:trHeight w:val="576"/>
          <w:jc w:val="center"/>
        </w:trPr>
        <w:tc>
          <w:tcPr>
            <w:tcW w:w="2179" w:type="dxa"/>
            <w:tcBorders>
              <w:top w:val="nil"/>
              <w:left w:val="single" w:sz="8" w:space="0" w:color="auto"/>
              <w:bottom w:val="nil"/>
              <w:right w:val="nil"/>
            </w:tcBorders>
            <w:shd w:val="clear" w:color="auto" w:fill="auto"/>
            <w:vAlign w:val="center"/>
            <w:hideMark/>
          </w:tcPr>
          <w:p w14:paraId="1A07BE35"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Student's in Grade…</w:t>
            </w:r>
          </w:p>
        </w:tc>
        <w:tc>
          <w:tcPr>
            <w:tcW w:w="2852" w:type="dxa"/>
            <w:tcBorders>
              <w:top w:val="nil"/>
              <w:left w:val="nil"/>
              <w:bottom w:val="nil"/>
              <w:right w:val="nil"/>
            </w:tcBorders>
            <w:shd w:val="clear" w:color="000000" w:fill="FCE4D6"/>
            <w:vAlign w:val="center"/>
            <w:hideMark/>
          </w:tcPr>
          <w:p w14:paraId="3618BDEA"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AEC Mean 2015 (Std. Dev.)</w:t>
            </w:r>
          </w:p>
        </w:tc>
        <w:tc>
          <w:tcPr>
            <w:tcW w:w="2852" w:type="dxa"/>
            <w:tcBorders>
              <w:top w:val="nil"/>
              <w:left w:val="nil"/>
              <w:bottom w:val="nil"/>
              <w:right w:val="single" w:sz="8" w:space="0" w:color="auto"/>
            </w:tcBorders>
            <w:shd w:val="clear" w:color="000000" w:fill="E2EFDA"/>
            <w:vAlign w:val="center"/>
            <w:hideMark/>
          </w:tcPr>
          <w:p w14:paraId="6E3A787F"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AEC Mean 2015 (Std. Dev.)</w:t>
            </w:r>
          </w:p>
        </w:tc>
      </w:tr>
      <w:tr w:rsidR="00597547" w:rsidRPr="00597547" w14:paraId="4E271C40"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727BDD3C"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9</w:t>
            </w:r>
          </w:p>
        </w:tc>
        <w:tc>
          <w:tcPr>
            <w:tcW w:w="2852" w:type="dxa"/>
            <w:tcBorders>
              <w:top w:val="nil"/>
              <w:left w:val="nil"/>
              <w:bottom w:val="nil"/>
              <w:right w:val="nil"/>
            </w:tcBorders>
            <w:shd w:val="clear" w:color="000000" w:fill="FCE4D6"/>
            <w:noWrap/>
            <w:vAlign w:val="center"/>
            <w:hideMark/>
          </w:tcPr>
          <w:p w14:paraId="14E32CB4"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216.4 (18.1)</w:t>
            </w:r>
          </w:p>
        </w:tc>
        <w:tc>
          <w:tcPr>
            <w:tcW w:w="2852" w:type="dxa"/>
            <w:tcBorders>
              <w:top w:val="nil"/>
              <w:left w:val="nil"/>
              <w:bottom w:val="nil"/>
              <w:right w:val="single" w:sz="8" w:space="0" w:color="auto"/>
            </w:tcBorders>
            <w:shd w:val="clear" w:color="000000" w:fill="E2EFDA"/>
            <w:noWrap/>
            <w:vAlign w:val="center"/>
            <w:hideMark/>
          </w:tcPr>
          <w:p w14:paraId="6A36AA10"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217.3 (18.7)</w:t>
            </w:r>
          </w:p>
        </w:tc>
      </w:tr>
      <w:tr w:rsidR="00597547" w:rsidRPr="00597547" w14:paraId="01418109"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4D73A76E"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10</w:t>
            </w:r>
          </w:p>
        </w:tc>
        <w:tc>
          <w:tcPr>
            <w:tcW w:w="2852" w:type="dxa"/>
            <w:tcBorders>
              <w:top w:val="nil"/>
              <w:left w:val="nil"/>
              <w:bottom w:val="nil"/>
              <w:right w:val="nil"/>
            </w:tcBorders>
            <w:shd w:val="clear" w:color="000000" w:fill="FCE4D6"/>
            <w:noWrap/>
            <w:vAlign w:val="center"/>
            <w:hideMark/>
          </w:tcPr>
          <w:p w14:paraId="68EAFB2E"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217.8 (18.3)</w:t>
            </w:r>
          </w:p>
        </w:tc>
        <w:tc>
          <w:tcPr>
            <w:tcW w:w="2852" w:type="dxa"/>
            <w:tcBorders>
              <w:top w:val="nil"/>
              <w:left w:val="nil"/>
              <w:bottom w:val="nil"/>
              <w:right w:val="single" w:sz="8" w:space="0" w:color="auto"/>
            </w:tcBorders>
            <w:shd w:val="clear" w:color="000000" w:fill="E2EFDA"/>
            <w:noWrap/>
            <w:vAlign w:val="center"/>
            <w:hideMark/>
          </w:tcPr>
          <w:p w14:paraId="19B2F3D9"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219.2 (19.0)</w:t>
            </w:r>
          </w:p>
        </w:tc>
      </w:tr>
      <w:tr w:rsidR="00597547" w:rsidRPr="00597547" w14:paraId="14912CE6"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48FFE865"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11</w:t>
            </w:r>
          </w:p>
        </w:tc>
        <w:tc>
          <w:tcPr>
            <w:tcW w:w="2852" w:type="dxa"/>
            <w:tcBorders>
              <w:top w:val="nil"/>
              <w:left w:val="nil"/>
              <w:bottom w:val="nil"/>
              <w:right w:val="nil"/>
            </w:tcBorders>
            <w:shd w:val="clear" w:color="000000" w:fill="FCE4D6"/>
            <w:noWrap/>
            <w:vAlign w:val="center"/>
            <w:hideMark/>
          </w:tcPr>
          <w:p w14:paraId="1C835864"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219.9 (18.0)</w:t>
            </w:r>
          </w:p>
        </w:tc>
        <w:tc>
          <w:tcPr>
            <w:tcW w:w="2852" w:type="dxa"/>
            <w:tcBorders>
              <w:top w:val="nil"/>
              <w:left w:val="nil"/>
              <w:bottom w:val="nil"/>
              <w:right w:val="single" w:sz="8" w:space="0" w:color="auto"/>
            </w:tcBorders>
            <w:shd w:val="clear" w:color="000000" w:fill="E2EFDA"/>
            <w:noWrap/>
            <w:vAlign w:val="center"/>
            <w:hideMark/>
          </w:tcPr>
          <w:p w14:paraId="75E2B045"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219.3 (19.2)</w:t>
            </w:r>
          </w:p>
        </w:tc>
      </w:tr>
      <w:tr w:rsidR="00597547" w:rsidRPr="00597547" w14:paraId="47E06F59" w14:textId="77777777" w:rsidTr="00B7200A">
        <w:trPr>
          <w:trHeight w:val="300"/>
          <w:jc w:val="center"/>
        </w:trPr>
        <w:tc>
          <w:tcPr>
            <w:tcW w:w="2179" w:type="dxa"/>
            <w:tcBorders>
              <w:top w:val="nil"/>
              <w:left w:val="single" w:sz="8" w:space="0" w:color="auto"/>
              <w:bottom w:val="single" w:sz="8" w:space="0" w:color="auto"/>
              <w:right w:val="nil"/>
            </w:tcBorders>
            <w:shd w:val="clear" w:color="auto" w:fill="auto"/>
            <w:noWrap/>
            <w:vAlign w:val="center"/>
            <w:hideMark/>
          </w:tcPr>
          <w:p w14:paraId="20742157" w14:textId="77777777" w:rsidR="00597547" w:rsidRPr="00597547" w:rsidRDefault="00597547" w:rsidP="00597547">
            <w:pPr>
              <w:spacing w:before="0" w:after="0" w:line="240" w:lineRule="auto"/>
              <w:jc w:val="center"/>
              <w:rPr>
                <w:rFonts w:ascii="Calibri" w:eastAsia="Times New Roman" w:hAnsi="Calibri" w:cs="Calibri"/>
                <w:b/>
                <w:bCs/>
                <w:color w:val="000000"/>
                <w:sz w:val="22"/>
                <w:szCs w:val="22"/>
              </w:rPr>
            </w:pPr>
            <w:r w:rsidRPr="00597547">
              <w:rPr>
                <w:rFonts w:ascii="Calibri" w:eastAsia="Times New Roman" w:hAnsi="Calibri" w:cs="Calibri"/>
                <w:b/>
                <w:bCs/>
                <w:color w:val="000000"/>
                <w:sz w:val="22"/>
                <w:szCs w:val="22"/>
              </w:rPr>
              <w:t>12</w:t>
            </w:r>
          </w:p>
        </w:tc>
        <w:tc>
          <w:tcPr>
            <w:tcW w:w="2852" w:type="dxa"/>
            <w:tcBorders>
              <w:top w:val="nil"/>
              <w:left w:val="nil"/>
              <w:bottom w:val="single" w:sz="8" w:space="0" w:color="auto"/>
              <w:right w:val="nil"/>
            </w:tcBorders>
            <w:shd w:val="clear" w:color="000000" w:fill="FCE4D6"/>
            <w:noWrap/>
            <w:vAlign w:val="center"/>
            <w:hideMark/>
          </w:tcPr>
          <w:p w14:paraId="222FB969"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220.1 (18.4)</w:t>
            </w:r>
          </w:p>
        </w:tc>
        <w:tc>
          <w:tcPr>
            <w:tcW w:w="2852" w:type="dxa"/>
            <w:tcBorders>
              <w:top w:val="nil"/>
              <w:left w:val="nil"/>
              <w:bottom w:val="single" w:sz="8" w:space="0" w:color="auto"/>
              <w:right w:val="single" w:sz="8" w:space="0" w:color="auto"/>
            </w:tcBorders>
            <w:shd w:val="clear" w:color="000000" w:fill="E2EFDA"/>
            <w:noWrap/>
            <w:vAlign w:val="center"/>
            <w:hideMark/>
          </w:tcPr>
          <w:p w14:paraId="1BE8AA78" w14:textId="77777777" w:rsidR="00597547" w:rsidRPr="00597547" w:rsidRDefault="00597547" w:rsidP="00597547">
            <w:pPr>
              <w:spacing w:before="0" w:after="0" w:line="240" w:lineRule="auto"/>
              <w:jc w:val="center"/>
              <w:rPr>
                <w:rFonts w:ascii="Calibri" w:eastAsia="Times New Roman" w:hAnsi="Calibri" w:cs="Calibri"/>
                <w:color w:val="000000"/>
                <w:sz w:val="22"/>
                <w:szCs w:val="22"/>
              </w:rPr>
            </w:pPr>
            <w:r w:rsidRPr="00597547">
              <w:rPr>
                <w:rFonts w:ascii="Calibri" w:eastAsia="Times New Roman" w:hAnsi="Calibri" w:cs="Calibri"/>
                <w:color w:val="000000"/>
                <w:sz w:val="22"/>
                <w:szCs w:val="22"/>
              </w:rPr>
              <w:t>220.1 (19.3)</w:t>
            </w:r>
          </w:p>
        </w:tc>
      </w:tr>
      <w:tr w:rsidR="00597547" w:rsidRPr="00597547" w14:paraId="46A21A85" w14:textId="77777777" w:rsidTr="00B7200A">
        <w:trPr>
          <w:trHeight w:val="288"/>
          <w:jc w:val="center"/>
        </w:trPr>
        <w:tc>
          <w:tcPr>
            <w:tcW w:w="7883" w:type="dxa"/>
            <w:gridSpan w:val="3"/>
            <w:tcBorders>
              <w:top w:val="nil"/>
              <w:left w:val="nil"/>
              <w:bottom w:val="nil"/>
              <w:right w:val="nil"/>
            </w:tcBorders>
            <w:shd w:val="clear" w:color="auto" w:fill="auto"/>
            <w:noWrap/>
            <w:vAlign w:val="bottom"/>
            <w:hideMark/>
          </w:tcPr>
          <w:p w14:paraId="081C7430" w14:textId="77777777" w:rsidR="00597547" w:rsidRPr="00597547" w:rsidRDefault="00597547" w:rsidP="00597547">
            <w:pPr>
              <w:spacing w:before="0" w:after="0" w:line="240" w:lineRule="auto"/>
              <w:rPr>
                <w:rFonts w:ascii="Calibri" w:eastAsia="Times New Roman" w:hAnsi="Calibri" w:cs="Calibri"/>
                <w:color w:val="000000"/>
                <w:sz w:val="22"/>
                <w:szCs w:val="22"/>
              </w:rPr>
            </w:pPr>
            <w:r w:rsidRPr="00597547">
              <w:rPr>
                <w:rFonts w:ascii="Calibri" w:eastAsia="Times New Roman" w:hAnsi="Calibri" w:cs="Calibri"/>
                <w:color w:val="000000"/>
                <w:sz w:val="22"/>
                <w:szCs w:val="22"/>
              </w:rPr>
              <w:t xml:space="preserve">Source: Momentum Strategy &amp; Research (2016). </w:t>
            </w:r>
            <w:r w:rsidRPr="00597547">
              <w:rPr>
                <w:rFonts w:ascii="Calibri" w:eastAsia="Times New Roman" w:hAnsi="Calibri" w:cs="Calibri"/>
                <w:i/>
                <w:iCs/>
                <w:color w:val="000000"/>
                <w:sz w:val="22"/>
                <w:szCs w:val="22"/>
              </w:rPr>
              <w:t>Alternative Accountability User's Guide</w:t>
            </w:r>
          </w:p>
        </w:tc>
      </w:tr>
    </w:tbl>
    <w:p w14:paraId="53E04C4A" w14:textId="77777777" w:rsidR="00B0286A" w:rsidRDefault="00B0286A" w:rsidP="00B62B50">
      <w:pPr>
        <w:rPr>
          <w:sz w:val="22"/>
          <w:szCs w:val="22"/>
        </w:rPr>
      </w:pPr>
    </w:p>
    <w:p w14:paraId="5EDB82E8" w14:textId="77777777" w:rsidR="00B0286A" w:rsidRDefault="00B0286A" w:rsidP="00B62B50">
      <w:pPr>
        <w:rPr>
          <w:sz w:val="22"/>
          <w:szCs w:val="22"/>
        </w:rPr>
      </w:pPr>
    </w:p>
    <w:p w14:paraId="2639D7D3" w14:textId="77777777" w:rsidR="00B0286A" w:rsidRDefault="00B0286A" w:rsidP="00B62B50">
      <w:pPr>
        <w:rPr>
          <w:sz w:val="22"/>
          <w:szCs w:val="22"/>
        </w:rPr>
      </w:pPr>
    </w:p>
    <w:tbl>
      <w:tblPr>
        <w:tblW w:w="7883" w:type="dxa"/>
        <w:jc w:val="center"/>
        <w:tblLook w:val="04A0" w:firstRow="1" w:lastRow="0" w:firstColumn="1" w:lastColumn="0" w:noHBand="0" w:noVBand="1"/>
      </w:tblPr>
      <w:tblGrid>
        <w:gridCol w:w="2179"/>
        <w:gridCol w:w="2852"/>
        <w:gridCol w:w="2852"/>
      </w:tblGrid>
      <w:tr w:rsidR="00B7200A" w:rsidRPr="00B7200A" w14:paraId="2ED578A7" w14:textId="77777777" w:rsidTr="00B7200A">
        <w:trPr>
          <w:trHeight w:val="300"/>
          <w:jc w:val="center"/>
        </w:trPr>
        <w:tc>
          <w:tcPr>
            <w:tcW w:w="7883"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196F74" w14:textId="77777777" w:rsidR="00B7200A" w:rsidRPr="00B7200A" w:rsidRDefault="00B7200A" w:rsidP="00B7200A">
            <w:pPr>
              <w:spacing w:before="0" w:after="0" w:line="240" w:lineRule="auto"/>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lastRenderedPageBreak/>
              <w:t>Average Winter and Spring Reading RIT for Alternative Students by Grade</w:t>
            </w:r>
          </w:p>
        </w:tc>
      </w:tr>
      <w:tr w:rsidR="00B7200A" w:rsidRPr="00B7200A" w14:paraId="76DA52CD"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4E826B65" w14:textId="77777777" w:rsidR="00B7200A" w:rsidRPr="00B7200A" w:rsidRDefault="00B7200A" w:rsidP="00B7200A">
            <w:pPr>
              <w:spacing w:before="0" w:after="0" w:line="240" w:lineRule="auto"/>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 </w:t>
            </w:r>
          </w:p>
        </w:tc>
        <w:tc>
          <w:tcPr>
            <w:tcW w:w="2852" w:type="dxa"/>
            <w:tcBorders>
              <w:top w:val="nil"/>
              <w:left w:val="nil"/>
              <w:bottom w:val="nil"/>
              <w:right w:val="nil"/>
            </w:tcBorders>
            <w:shd w:val="clear" w:color="000000" w:fill="FCE4D6"/>
            <w:noWrap/>
            <w:vAlign w:val="center"/>
            <w:hideMark/>
          </w:tcPr>
          <w:p w14:paraId="7C5EDB87"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Winter (Mid-Year)</w:t>
            </w:r>
          </w:p>
        </w:tc>
        <w:tc>
          <w:tcPr>
            <w:tcW w:w="2852" w:type="dxa"/>
            <w:tcBorders>
              <w:top w:val="nil"/>
              <w:left w:val="nil"/>
              <w:bottom w:val="nil"/>
              <w:right w:val="single" w:sz="8" w:space="0" w:color="auto"/>
            </w:tcBorders>
            <w:shd w:val="clear" w:color="000000" w:fill="E2EFDA"/>
            <w:noWrap/>
            <w:vAlign w:val="center"/>
            <w:hideMark/>
          </w:tcPr>
          <w:p w14:paraId="5E18C214"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Spring (End-Year)</w:t>
            </w:r>
          </w:p>
        </w:tc>
      </w:tr>
      <w:tr w:rsidR="00B7200A" w:rsidRPr="00B7200A" w14:paraId="3AEB7B0C" w14:textId="77777777" w:rsidTr="00B7200A">
        <w:trPr>
          <w:trHeight w:val="576"/>
          <w:jc w:val="center"/>
        </w:trPr>
        <w:tc>
          <w:tcPr>
            <w:tcW w:w="2179" w:type="dxa"/>
            <w:tcBorders>
              <w:top w:val="nil"/>
              <w:left w:val="single" w:sz="8" w:space="0" w:color="auto"/>
              <w:bottom w:val="nil"/>
              <w:right w:val="nil"/>
            </w:tcBorders>
            <w:shd w:val="clear" w:color="auto" w:fill="auto"/>
            <w:vAlign w:val="center"/>
            <w:hideMark/>
          </w:tcPr>
          <w:p w14:paraId="30A78500"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Student's in Grade…</w:t>
            </w:r>
          </w:p>
        </w:tc>
        <w:tc>
          <w:tcPr>
            <w:tcW w:w="2852" w:type="dxa"/>
            <w:tcBorders>
              <w:top w:val="nil"/>
              <w:left w:val="nil"/>
              <w:bottom w:val="nil"/>
              <w:right w:val="nil"/>
            </w:tcBorders>
            <w:shd w:val="clear" w:color="000000" w:fill="FCE4D6"/>
            <w:vAlign w:val="center"/>
            <w:hideMark/>
          </w:tcPr>
          <w:p w14:paraId="25A614AA"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AEC Mean 2015 (Std. Dev.)</w:t>
            </w:r>
          </w:p>
        </w:tc>
        <w:tc>
          <w:tcPr>
            <w:tcW w:w="2852" w:type="dxa"/>
            <w:tcBorders>
              <w:top w:val="nil"/>
              <w:left w:val="nil"/>
              <w:bottom w:val="nil"/>
              <w:right w:val="single" w:sz="8" w:space="0" w:color="auto"/>
            </w:tcBorders>
            <w:shd w:val="clear" w:color="000000" w:fill="E2EFDA"/>
            <w:vAlign w:val="center"/>
            <w:hideMark/>
          </w:tcPr>
          <w:p w14:paraId="6F73720E"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AEC Mean 2015 (Std. Dev.)</w:t>
            </w:r>
          </w:p>
        </w:tc>
      </w:tr>
      <w:tr w:rsidR="00B7200A" w:rsidRPr="00B7200A" w14:paraId="24DD09CD"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76DC4DDA"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9</w:t>
            </w:r>
          </w:p>
        </w:tc>
        <w:tc>
          <w:tcPr>
            <w:tcW w:w="2852" w:type="dxa"/>
            <w:tcBorders>
              <w:top w:val="nil"/>
              <w:left w:val="nil"/>
              <w:bottom w:val="nil"/>
              <w:right w:val="nil"/>
            </w:tcBorders>
            <w:shd w:val="clear" w:color="000000" w:fill="FCE4D6"/>
            <w:noWrap/>
            <w:vAlign w:val="center"/>
            <w:hideMark/>
          </w:tcPr>
          <w:p w14:paraId="7CA3A3DF"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210.0 (18.1)</w:t>
            </w:r>
          </w:p>
        </w:tc>
        <w:tc>
          <w:tcPr>
            <w:tcW w:w="2852" w:type="dxa"/>
            <w:tcBorders>
              <w:top w:val="nil"/>
              <w:left w:val="nil"/>
              <w:bottom w:val="nil"/>
              <w:right w:val="single" w:sz="8" w:space="0" w:color="auto"/>
            </w:tcBorders>
            <w:shd w:val="clear" w:color="000000" w:fill="E2EFDA"/>
            <w:noWrap/>
            <w:vAlign w:val="center"/>
            <w:hideMark/>
          </w:tcPr>
          <w:p w14:paraId="2CD28FA2"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210.2 (18.4)</w:t>
            </w:r>
          </w:p>
        </w:tc>
      </w:tr>
      <w:tr w:rsidR="00B7200A" w:rsidRPr="00B7200A" w14:paraId="276E8C7F"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4ECDD00B"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10</w:t>
            </w:r>
          </w:p>
        </w:tc>
        <w:tc>
          <w:tcPr>
            <w:tcW w:w="2852" w:type="dxa"/>
            <w:tcBorders>
              <w:top w:val="nil"/>
              <w:left w:val="nil"/>
              <w:bottom w:val="nil"/>
              <w:right w:val="nil"/>
            </w:tcBorders>
            <w:shd w:val="clear" w:color="000000" w:fill="FCE4D6"/>
            <w:noWrap/>
            <w:vAlign w:val="center"/>
            <w:hideMark/>
          </w:tcPr>
          <w:p w14:paraId="48B31647"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210.2 (18.4)</w:t>
            </w:r>
          </w:p>
        </w:tc>
        <w:tc>
          <w:tcPr>
            <w:tcW w:w="2852" w:type="dxa"/>
            <w:tcBorders>
              <w:top w:val="nil"/>
              <w:left w:val="nil"/>
              <w:bottom w:val="nil"/>
              <w:right w:val="single" w:sz="8" w:space="0" w:color="auto"/>
            </w:tcBorders>
            <w:shd w:val="clear" w:color="000000" w:fill="E2EFDA"/>
            <w:noWrap/>
            <w:vAlign w:val="center"/>
            <w:hideMark/>
          </w:tcPr>
          <w:p w14:paraId="196A8B4B"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211.3 (18.9)</w:t>
            </w:r>
          </w:p>
        </w:tc>
      </w:tr>
      <w:tr w:rsidR="00B7200A" w:rsidRPr="00B7200A" w14:paraId="5D54016D" w14:textId="77777777" w:rsidTr="00B7200A">
        <w:trPr>
          <w:trHeight w:val="288"/>
          <w:jc w:val="center"/>
        </w:trPr>
        <w:tc>
          <w:tcPr>
            <w:tcW w:w="2179" w:type="dxa"/>
            <w:tcBorders>
              <w:top w:val="nil"/>
              <w:left w:val="single" w:sz="8" w:space="0" w:color="auto"/>
              <w:bottom w:val="nil"/>
              <w:right w:val="nil"/>
            </w:tcBorders>
            <w:shd w:val="clear" w:color="auto" w:fill="auto"/>
            <w:noWrap/>
            <w:vAlign w:val="center"/>
            <w:hideMark/>
          </w:tcPr>
          <w:p w14:paraId="5710AC37"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11</w:t>
            </w:r>
          </w:p>
        </w:tc>
        <w:tc>
          <w:tcPr>
            <w:tcW w:w="2852" w:type="dxa"/>
            <w:tcBorders>
              <w:top w:val="nil"/>
              <w:left w:val="nil"/>
              <w:bottom w:val="nil"/>
              <w:right w:val="nil"/>
            </w:tcBorders>
            <w:shd w:val="clear" w:color="000000" w:fill="FCE4D6"/>
            <w:noWrap/>
            <w:vAlign w:val="center"/>
            <w:hideMark/>
          </w:tcPr>
          <w:p w14:paraId="35ABB025"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212.5 (17.7)</w:t>
            </w:r>
          </w:p>
        </w:tc>
        <w:tc>
          <w:tcPr>
            <w:tcW w:w="2852" w:type="dxa"/>
            <w:tcBorders>
              <w:top w:val="nil"/>
              <w:left w:val="nil"/>
              <w:bottom w:val="nil"/>
              <w:right w:val="single" w:sz="8" w:space="0" w:color="auto"/>
            </w:tcBorders>
            <w:shd w:val="clear" w:color="000000" w:fill="E2EFDA"/>
            <w:noWrap/>
            <w:vAlign w:val="center"/>
            <w:hideMark/>
          </w:tcPr>
          <w:p w14:paraId="16914014"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212.2 (18.6)</w:t>
            </w:r>
          </w:p>
        </w:tc>
      </w:tr>
      <w:tr w:rsidR="00B7200A" w:rsidRPr="00B7200A" w14:paraId="326FB203" w14:textId="77777777" w:rsidTr="00B7200A">
        <w:trPr>
          <w:trHeight w:val="300"/>
          <w:jc w:val="center"/>
        </w:trPr>
        <w:tc>
          <w:tcPr>
            <w:tcW w:w="2179" w:type="dxa"/>
            <w:tcBorders>
              <w:top w:val="nil"/>
              <w:left w:val="single" w:sz="8" w:space="0" w:color="auto"/>
              <w:bottom w:val="single" w:sz="8" w:space="0" w:color="auto"/>
              <w:right w:val="nil"/>
            </w:tcBorders>
            <w:shd w:val="clear" w:color="auto" w:fill="auto"/>
            <w:noWrap/>
            <w:vAlign w:val="center"/>
            <w:hideMark/>
          </w:tcPr>
          <w:p w14:paraId="7AC79B58" w14:textId="77777777" w:rsidR="00B7200A" w:rsidRPr="00B7200A" w:rsidRDefault="00B7200A" w:rsidP="00B7200A">
            <w:pPr>
              <w:spacing w:before="0" w:after="0" w:line="240" w:lineRule="auto"/>
              <w:jc w:val="center"/>
              <w:rPr>
                <w:rFonts w:ascii="Calibri" w:eastAsia="Times New Roman" w:hAnsi="Calibri" w:cs="Calibri"/>
                <w:b/>
                <w:bCs/>
                <w:color w:val="000000"/>
                <w:sz w:val="22"/>
                <w:szCs w:val="22"/>
              </w:rPr>
            </w:pPr>
            <w:r w:rsidRPr="00B7200A">
              <w:rPr>
                <w:rFonts w:ascii="Calibri" w:eastAsia="Times New Roman" w:hAnsi="Calibri" w:cs="Calibri"/>
                <w:b/>
                <w:bCs/>
                <w:color w:val="000000"/>
                <w:sz w:val="22"/>
                <w:szCs w:val="22"/>
              </w:rPr>
              <w:t>12</w:t>
            </w:r>
          </w:p>
        </w:tc>
        <w:tc>
          <w:tcPr>
            <w:tcW w:w="2852" w:type="dxa"/>
            <w:tcBorders>
              <w:top w:val="nil"/>
              <w:left w:val="nil"/>
              <w:bottom w:val="single" w:sz="8" w:space="0" w:color="auto"/>
              <w:right w:val="nil"/>
            </w:tcBorders>
            <w:shd w:val="clear" w:color="000000" w:fill="FCE4D6"/>
            <w:noWrap/>
            <w:vAlign w:val="center"/>
            <w:hideMark/>
          </w:tcPr>
          <w:p w14:paraId="569F7C9F"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213.0 (17.5)</w:t>
            </w:r>
          </w:p>
        </w:tc>
        <w:tc>
          <w:tcPr>
            <w:tcW w:w="2852" w:type="dxa"/>
            <w:tcBorders>
              <w:top w:val="nil"/>
              <w:left w:val="nil"/>
              <w:bottom w:val="single" w:sz="8" w:space="0" w:color="auto"/>
              <w:right w:val="single" w:sz="8" w:space="0" w:color="auto"/>
            </w:tcBorders>
            <w:shd w:val="clear" w:color="000000" w:fill="E2EFDA"/>
            <w:noWrap/>
            <w:vAlign w:val="center"/>
            <w:hideMark/>
          </w:tcPr>
          <w:p w14:paraId="3F7CD121" w14:textId="77777777" w:rsidR="00B7200A" w:rsidRPr="00B7200A" w:rsidRDefault="00B7200A" w:rsidP="00B7200A">
            <w:pPr>
              <w:spacing w:before="0" w:after="0" w:line="240" w:lineRule="auto"/>
              <w:jc w:val="center"/>
              <w:rPr>
                <w:rFonts w:ascii="Calibri" w:eastAsia="Times New Roman" w:hAnsi="Calibri" w:cs="Calibri"/>
                <w:color w:val="000000"/>
                <w:sz w:val="22"/>
                <w:szCs w:val="22"/>
              </w:rPr>
            </w:pPr>
            <w:r w:rsidRPr="00B7200A">
              <w:rPr>
                <w:rFonts w:ascii="Calibri" w:eastAsia="Times New Roman" w:hAnsi="Calibri" w:cs="Calibri"/>
                <w:color w:val="000000"/>
                <w:sz w:val="22"/>
                <w:szCs w:val="22"/>
              </w:rPr>
              <w:t>212.6 (18.6)</w:t>
            </w:r>
          </w:p>
        </w:tc>
      </w:tr>
      <w:tr w:rsidR="00B7200A" w:rsidRPr="00B7200A" w14:paraId="42258B47" w14:textId="77777777" w:rsidTr="00B7200A">
        <w:trPr>
          <w:trHeight w:val="288"/>
          <w:jc w:val="center"/>
        </w:trPr>
        <w:tc>
          <w:tcPr>
            <w:tcW w:w="7883" w:type="dxa"/>
            <w:gridSpan w:val="3"/>
            <w:tcBorders>
              <w:top w:val="nil"/>
              <w:left w:val="nil"/>
              <w:bottom w:val="nil"/>
              <w:right w:val="nil"/>
            </w:tcBorders>
            <w:shd w:val="clear" w:color="auto" w:fill="auto"/>
            <w:noWrap/>
            <w:vAlign w:val="bottom"/>
            <w:hideMark/>
          </w:tcPr>
          <w:p w14:paraId="020CDA76" w14:textId="77777777" w:rsidR="00B7200A" w:rsidRPr="00B7200A" w:rsidRDefault="00B7200A" w:rsidP="00B7200A">
            <w:pPr>
              <w:spacing w:before="0" w:after="0" w:line="240" w:lineRule="auto"/>
              <w:rPr>
                <w:rFonts w:ascii="Calibri" w:eastAsia="Times New Roman" w:hAnsi="Calibri" w:cs="Calibri"/>
                <w:color w:val="000000"/>
                <w:sz w:val="22"/>
                <w:szCs w:val="22"/>
              </w:rPr>
            </w:pPr>
            <w:r w:rsidRPr="00B7200A">
              <w:rPr>
                <w:rFonts w:ascii="Calibri" w:eastAsia="Times New Roman" w:hAnsi="Calibri" w:cs="Calibri"/>
                <w:color w:val="000000"/>
                <w:sz w:val="22"/>
                <w:szCs w:val="22"/>
              </w:rPr>
              <w:t xml:space="preserve">Source: Momentum Strategy &amp; Research (2016). </w:t>
            </w:r>
            <w:r w:rsidRPr="00B7200A">
              <w:rPr>
                <w:rFonts w:ascii="Calibri" w:eastAsia="Times New Roman" w:hAnsi="Calibri" w:cs="Calibri"/>
                <w:i/>
                <w:iCs/>
                <w:color w:val="000000"/>
                <w:sz w:val="22"/>
                <w:szCs w:val="22"/>
              </w:rPr>
              <w:t>Alternative Accountability User's Guide</w:t>
            </w:r>
          </w:p>
        </w:tc>
      </w:tr>
    </w:tbl>
    <w:p w14:paraId="355CF54B" w14:textId="77777777" w:rsidR="001C5217" w:rsidRDefault="001C5217" w:rsidP="001C5217"/>
    <w:p w14:paraId="4A3B0833" w14:textId="77777777" w:rsidR="00C70A00" w:rsidRDefault="00C70A00" w:rsidP="00C70A00">
      <w:pPr>
        <w:pStyle w:val="Heading2"/>
      </w:pPr>
      <w:bookmarkStart w:id="9" w:name="_Toc474843237"/>
      <w:bookmarkStart w:id="10" w:name="_Toc474940135"/>
      <w:r>
        <w:t>Computation of the Metric</w:t>
      </w:r>
      <w:bookmarkEnd w:id="9"/>
      <w:bookmarkEnd w:id="10"/>
    </w:p>
    <w:p w14:paraId="55B67115" w14:textId="77777777" w:rsidR="00B7200A" w:rsidRDefault="00C70A00" w:rsidP="00B62B50">
      <w:pPr>
        <w:rPr>
          <w:sz w:val="22"/>
          <w:szCs w:val="22"/>
        </w:rPr>
      </w:pPr>
      <w:r>
        <w:rPr>
          <w:sz w:val="22"/>
          <w:szCs w:val="22"/>
        </w:rPr>
        <w:t>For each grade level you will compute the average scores for all non-exempted students (see Exemptions section below for a list of students that should not be included in the metric’s computations)</w:t>
      </w:r>
    </w:p>
    <w:p w14:paraId="531D0353" w14:textId="77777777" w:rsidR="00A27F06" w:rsidRDefault="00C70A00" w:rsidP="00B62B50">
      <w:pPr>
        <w:rPr>
          <w:sz w:val="22"/>
          <w:szCs w:val="22"/>
          <w:u w:color="000000"/>
        </w:rPr>
      </w:pPr>
      <w:r>
        <w:rPr>
          <w:sz w:val="22"/>
          <w:szCs w:val="22"/>
          <w:u w:color="000000"/>
        </w:rPr>
        <w:t>For each grade leve</w:t>
      </w:r>
      <w:r w:rsidR="001D7C99">
        <w:rPr>
          <w:sz w:val="22"/>
          <w:szCs w:val="22"/>
          <w:u w:color="000000"/>
        </w:rPr>
        <w:t>l compute the average RIT score. For example, the average spring RIT for 9</w:t>
      </w:r>
      <w:r w:rsidR="001D7C99" w:rsidRPr="001D7C99">
        <w:rPr>
          <w:sz w:val="22"/>
          <w:szCs w:val="22"/>
          <w:u w:color="000000"/>
          <w:vertAlign w:val="superscript"/>
        </w:rPr>
        <w:t>th</w:t>
      </w:r>
      <w:r w:rsidR="001D7C99">
        <w:rPr>
          <w:sz w:val="22"/>
          <w:szCs w:val="22"/>
          <w:u w:color="000000"/>
        </w:rPr>
        <w:t xml:space="preserve"> grade students is computed as follows:</w:t>
      </w:r>
    </w:p>
    <w:p w14:paraId="1B15790C" w14:textId="77777777" w:rsidR="00C70A00" w:rsidRDefault="001D7C99" w:rsidP="00B62B50">
      <w:pPr>
        <w:rPr>
          <w:sz w:val="18"/>
          <w:szCs w:val="18"/>
          <w:u w:color="000000"/>
        </w:rPr>
      </w:pPr>
      <w:r>
        <w:rPr>
          <w:sz w:val="18"/>
          <w:szCs w:val="18"/>
          <w:u w:color="000000"/>
        </w:rPr>
        <w:tab/>
      </w:r>
      <w:r w:rsidR="00C70A00" w:rsidRPr="001D7C99">
        <w:rPr>
          <w:sz w:val="18"/>
          <w:szCs w:val="18"/>
          <w:u w:color="000000"/>
        </w:rPr>
        <w:t>Sum of spring RIT</w:t>
      </w:r>
      <w:r>
        <w:rPr>
          <w:sz w:val="18"/>
          <w:szCs w:val="18"/>
          <w:u w:color="000000"/>
        </w:rPr>
        <w:t xml:space="preserve"> values </w:t>
      </w:r>
      <w:r w:rsidR="00C70A00" w:rsidRPr="001D7C99">
        <w:rPr>
          <w:sz w:val="18"/>
          <w:szCs w:val="18"/>
          <w:u w:color="000000"/>
        </w:rPr>
        <w:t>for all 9</w:t>
      </w:r>
      <w:r w:rsidR="00C70A00" w:rsidRPr="001D7C99">
        <w:rPr>
          <w:sz w:val="18"/>
          <w:szCs w:val="18"/>
          <w:u w:color="000000"/>
          <w:vertAlign w:val="superscript"/>
        </w:rPr>
        <w:t>th</w:t>
      </w:r>
      <w:r w:rsidRPr="001D7C99">
        <w:rPr>
          <w:sz w:val="18"/>
          <w:szCs w:val="18"/>
          <w:u w:color="000000"/>
        </w:rPr>
        <w:t xml:space="preserve"> graders with valid scores / </w:t>
      </w:r>
      <w:r>
        <w:rPr>
          <w:sz w:val="18"/>
          <w:szCs w:val="18"/>
          <w:u w:color="000000"/>
        </w:rPr>
        <w:t>t</w:t>
      </w:r>
      <w:r w:rsidR="00C70A00" w:rsidRPr="001D7C99">
        <w:rPr>
          <w:sz w:val="18"/>
          <w:szCs w:val="18"/>
          <w:u w:color="000000"/>
        </w:rPr>
        <w:t>he number of 9</w:t>
      </w:r>
      <w:r w:rsidR="00C70A00" w:rsidRPr="001D7C99">
        <w:rPr>
          <w:sz w:val="18"/>
          <w:szCs w:val="18"/>
          <w:u w:color="000000"/>
          <w:vertAlign w:val="superscript"/>
        </w:rPr>
        <w:t>th</w:t>
      </w:r>
      <w:r w:rsidR="00C70A00" w:rsidRPr="001D7C99">
        <w:rPr>
          <w:sz w:val="18"/>
          <w:szCs w:val="18"/>
          <w:u w:color="000000"/>
        </w:rPr>
        <w:t xml:space="preserve"> grade students with valid spring RIT</w:t>
      </w:r>
    </w:p>
    <w:p w14:paraId="21D1786F" w14:textId="77777777" w:rsidR="001D7C99" w:rsidRPr="001D7C99" w:rsidRDefault="001D7C99" w:rsidP="00B62B50">
      <w:pPr>
        <w:rPr>
          <w:sz w:val="22"/>
          <w:szCs w:val="22"/>
          <w:u w:color="000000"/>
        </w:rPr>
      </w:pPr>
      <w:r>
        <w:rPr>
          <w:sz w:val="22"/>
          <w:szCs w:val="22"/>
          <w:u w:color="000000"/>
        </w:rPr>
        <w:t>Do this for each grade level, separately. If the school has a group of students that do not have a valid spring RIT, but do have valid winter RIT then also compute the average outcomes for each grade level for winter.</w:t>
      </w:r>
    </w:p>
    <w:p w14:paraId="7C060134" w14:textId="77777777" w:rsidR="0051336E" w:rsidRDefault="0051336E" w:rsidP="0051336E">
      <w:pPr>
        <w:pStyle w:val="Heading2"/>
      </w:pPr>
      <w:bookmarkStart w:id="11" w:name="_Toc474843238"/>
      <w:bookmarkStart w:id="12" w:name="_Toc474940136"/>
      <w:r>
        <w:t>student inclusion rules</w:t>
      </w:r>
      <w:bookmarkEnd w:id="11"/>
      <w:bookmarkEnd w:id="12"/>
    </w:p>
    <w:p w14:paraId="0D6921A7" w14:textId="77777777" w:rsidR="000C28CB" w:rsidRPr="0051336E" w:rsidRDefault="0051336E" w:rsidP="000C28CB">
      <w:pPr>
        <w:pStyle w:val="ListParagraph"/>
        <w:numPr>
          <w:ilvl w:val="0"/>
          <w:numId w:val="15"/>
        </w:numPr>
      </w:pPr>
      <w:r>
        <w:rPr>
          <w:sz w:val="22"/>
          <w:szCs w:val="22"/>
        </w:rPr>
        <w:t>All students with valid assessment results that were</w:t>
      </w:r>
      <w:r w:rsidR="00AA1958">
        <w:rPr>
          <w:sz w:val="22"/>
          <w:szCs w:val="22"/>
        </w:rPr>
        <w:t xml:space="preserve"> en</w:t>
      </w:r>
      <w:r w:rsidR="0012753F">
        <w:rPr>
          <w:sz w:val="22"/>
          <w:szCs w:val="22"/>
        </w:rPr>
        <w:t>rolled at Beacon for at least 91</w:t>
      </w:r>
      <w:r w:rsidR="00AA1958">
        <w:rPr>
          <w:sz w:val="22"/>
          <w:szCs w:val="22"/>
        </w:rPr>
        <w:t xml:space="preserve"> days</w:t>
      </w:r>
      <w:r w:rsidR="000A0A48">
        <w:rPr>
          <w:sz w:val="22"/>
          <w:szCs w:val="22"/>
        </w:rPr>
        <w:t xml:space="preserve"> during the school year, and at least 8 weeks prior to taking the </w:t>
      </w:r>
      <w:r w:rsidR="0012753F">
        <w:rPr>
          <w:sz w:val="22"/>
          <w:szCs w:val="22"/>
        </w:rPr>
        <w:t xml:space="preserve">spring </w:t>
      </w:r>
      <w:r w:rsidR="000A0A48">
        <w:rPr>
          <w:sz w:val="22"/>
          <w:szCs w:val="22"/>
        </w:rPr>
        <w:t>assessment</w:t>
      </w:r>
      <w:r w:rsidR="00AA1958">
        <w:rPr>
          <w:sz w:val="22"/>
          <w:szCs w:val="22"/>
        </w:rPr>
        <w:t>.</w:t>
      </w:r>
    </w:p>
    <w:p w14:paraId="153CBD97" w14:textId="77777777" w:rsidR="00D32908" w:rsidRPr="00F32308" w:rsidRDefault="00D072D2" w:rsidP="00134CD3">
      <w:pPr>
        <w:pStyle w:val="Heading2"/>
        <w:rPr>
          <w:rFonts w:cs="Calibri"/>
          <w:b/>
          <w:bCs/>
        </w:rPr>
      </w:pPr>
      <w:bookmarkStart w:id="13" w:name="_Toc474843239"/>
      <w:bookmarkStart w:id="14" w:name="_Toc474940137"/>
      <w:r w:rsidRPr="00F32308">
        <w:t>Exemptions</w:t>
      </w:r>
      <w:bookmarkEnd w:id="13"/>
      <w:bookmarkEnd w:id="14"/>
    </w:p>
    <w:p w14:paraId="56420CFD" w14:textId="77777777" w:rsidR="00D32908" w:rsidRDefault="00622118">
      <w:pPr>
        <w:pStyle w:val="ListParagraph"/>
        <w:numPr>
          <w:ilvl w:val="0"/>
          <w:numId w:val="7"/>
        </w:numPr>
        <w:tabs>
          <w:tab w:val="left" w:pos="841"/>
        </w:tabs>
        <w:spacing w:line="279" w:lineRule="exact"/>
        <w:ind w:right="126" w:hanging="360"/>
        <w:rPr>
          <w:rFonts w:ascii="Calibri" w:eastAsia="Calibri" w:hAnsi="Calibri" w:cs="Calibri"/>
        </w:rPr>
      </w:pPr>
      <w:r>
        <w:rPr>
          <w:rFonts w:ascii="Calibri"/>
          <w:sz w:val="22"/>
        </w:rPr>
        <w:t>Students enr</w:t>
      </w:r>
      <w:r w:rsidR="0012753F">
        <w:rPr>
          <w:rFonts w:ascii="Calibri"/>
          <w:sz w:val="22"/>
        </w:rPr>
        <w:t>olled at the school for fewer than 91 consecutive</w:t>
      </w:r>
      <w:r w:rsidR="000A0A48">
        <w:rPr>
          <w:rFonts w:ascii="Calibri"/>
          <w:sz w:val="22"/>
        </w:rPr>
        <w:t xml:space="preserve"> days</w:t>
      </w:r>
    </w:p>
    <w:p w14:paraId="3EF93C86" w14:textId="77777777" w:rsidR="00D32908" w:rsidRPr="008A2CE8" w:rsidRDefault="008A2CE8">
      <w:pPr>
        <w:pStyle w:val="ListParagraph"/>
        <w:numPr>
          <w:ilvl w:val="0"/>
          <w:numId w:val="7"/>
        </w:numPr>
        <w:tabs>
          <w:tab w:val="left" w:pos="841"/>
        </w:tabs>
        <w:spacing w:line="279" w:lineRule="exact"/>
        <w:ind w:right="126" w:hanging="360"/>
        <w:rPr>
          <w:rFonts w:ascii="Calibri" w:eastAsia="Calibri" w:hAnsi="Calibri" w:cs="Calibri"/>
        </w:rPr>
      </w:pPr>
      <w:r>
        <w:rPr>
          <w:rFonts w:ascii="Calibri"/>
          <w:sz w:val="22"/>
        </w:rPr>
        <w:t>Students receiving “did not test” codes</w:t>
      </w:r>
      <w:r w:rsidR="00A356CF">
        <w:rPr>
          <w:rFonts w:ascii="Calibri"/>
          <w:sz w:val="22"/>
        </w:rPr>
        <w:t xml:space="preserve">, because they were not enrolled or were absent throughout the </w:t>
      </w:r>
      <w:r w:rsidR="0012753F">
        <w:rPr>
          <w:rFonts w:ascii="Calibri"/>
          <w:sz w:val="22"/>
        </w:rPr>
        <w:t xml:space="preserve">spring </w:t>
      </w:r>
      <w:r w:rsidR="00A356CF">
        <w:rPr>
          <w:rFonts w:ascii="Calibri"/>
          <w:sz w:val="22"/>
        </w:rPr>
        <w:t>testing window</w:t>
      </w:r>
    </w:p>
    <w:p w14:paraId="7A93A8C2" w14:textId="77777777" w:rsidR="00D072D2" w:rsidRPr="000A0A48" w:rsidRDefault="00B05D3B" w:rsidP="000A0A48">
      <w:pPr>
        <w:pStyle w:val="ListParagraph"/>
        <w:numPr>
          <w:ilvl w:val="0"/>
          <w:numId w:val="7"/>
        </w:numPr>
        <w:tabs>
          <w:tab w:val="left" w:pos="841"/>
        </w:tabs>
        <w:spacing w:line="279" w:lineRule="exact"/>
        <w:ind w:right="126" w:hanging="360"/>
        <w:rPr>
          <w:rFonts w:ascii="Calibri" w:eastAsia="Calibri" w:hAnsi="Calibri" w:cs="Calibri"/>
        </w:rPr>
      </w:pPr>
      <w:r>
        <w:rPr>
          <w:rFonts w:ascii="Calibri"/>
          <w:sz w:val="22"/>
        </w:rPr>
        <w:t>Students wit</w:t>
      </w:r>
      <w:r w:rsidR="0012753F">
        <w:rPr>
          <w:rFonts w:ascii="Calibri"/>
          <w:sz w:val="22"/>
        </w:rPr>
        <w:t>h invalidated scores, by vendor or due to</w:t>
      </w:r>
      <w:r>
        <w:rPr>
          <w:rFonts w:ascii="Calibri"/>
          <w:sz w:val="22"/>
        </w:rPr>
        <w:t xml:space="preserve"> test irregularities</w:t>
      </w:r>
    </w:p>
    <w:p w14:paraId="0DBE10A4" w14:textId="77777777" w:rsidR="00A60AF6" w:rsidRDefault="001D7C99" w:rsidP="00A60AF6">
      <w:pPr>
        <w:pStyle w:val="Heading2"/>
        <w:rPr>
          <w:rFonts w:eastAsia="Calibri"/>
        </w:rPr>
      </w:pPr>
      <w:bookmarkStart w:id="15" w:name="_Toc474843240"/>
      <w:bookmarkStart w:id="16" w:name="_Toc474940138"/>
      <w:r>
        <w:rPr>
          <w:rFonts w:eastAsia="Calibri"/>
        </w:rPr>
        <w:t>Summarizing the Results</w:t>
      </w:r>
      <w:bookmarkEnd w:id="15"/>
      <w:bookmarkEnd w:id="16"/>
    </w:p>
    <w:p w14:paraId="4F912849" w14:textId="77777777" w:rsidR="00A60AF6" w:rsidRDefault="00A55077" w:rsidP="00A60AF6">
      <w:pPr>
        <w:rPr>
          <w:sz w:val="22"/>
          <w:szCs w:val="22"/>
        </w:rPr>
      </w:pPr>
      <w:r>
        <w:rPr>
          <w:sz w:val="22"/>
          <w:szCs w:val="22"/>
        </w:rPr>
        <w:t xml:space="preserve">For summarizing the results, Momentum recommends </w:t>
      </w:r>
      <w:r w:rsidR="001D740C">
        <w:rPr>
          <w:sz w:val="22"/>
          <w:szCs w:val="22"/>
        </w:rPr>
        <w:t xml:space="preserve">summarizing the difference between </w:t>
      </w:r>
      <w:r>
        <w:rPr>
          <w:sz w:val="22"/>
          <w:szCs w:val="22"/>
        </w:rPr>
        <w:t>each grade level’</w:t>
      </w:r>
      <w:r w:rsidR="001D740C">
        <w:rPr>
          <w:sz w:val="22"/>
          <w:szCs w:val="22"/>
        </w:rPr>
        <w:t>s outcome,</w:t>
      </w:r>
      <w:r>
        <w:rPr>
          <w:sz w:val="22"/>
          <w:szCs w:val="22"/>
        </w:rPr>
        <w:t xml:space="preserve"> compared to the NWEA Alternative Norming Sample outcomes</w:t>
      </w:r>
      <w:r w:rsidR="001D740C">
        <w:rPr>
          <w:sz w:val="22"/>
          <w:szCs w:val="22"/>
        </w:rPr>
        <w:t xml:space="preserve"> for the same grade and assessment period</w:t>
      </w:r>
      <w:r>
        <w:rPr>
          <w:sz w:val="22"/>
          <w:szCs w:val="22"/>
        </w:rPr>
        <w:t>. The following provides an example</w:t>
      </w:r>
      <w:r w:rsidR="00884CD4">
        <w:rPr>
          <w:sz w:val="22"/>
          <w:szCs w:val="22"/>
        </w:rPr>
        <w:t xml:space="preserve"> of how data could be summarized for scoring</w:t>
      </w:r>
      <w:r>
        <w:rPr>
          <w:sz w:val="22"/>
          <w:szCs w:val="22"/>
        </w:rPr>
        <w:t>:</w:t>
      </w:r>
    </w:p>
    <w:p w14:paraId="0EC36804" w14:textId="77777777" w:rsidR="0024336C" w:rsidRDefault="0024336C" w:rsidP="00A60AF6">
      <w:pPr>
        <w:rPr>
          <w:sz w:val="22"/>
          <w:szCs w:val="22"/>
        </w:rPr>
      </w:pPr>
    </w:p>
    <w:p w14:paraId="797A1FB7" w14:textId="77777777" w:rsidR="002E5F98" w:rsidRDefault="002E5F98" w:rsidP="00A60AF6">
      <w:pPr>
        <w:rPr>
          <w:sz w:val="22"/>
          <w:szCs w:val="22"/>
        </w:rPr>
      </w:pPr>
    </w:p>
    <w:tbl>
      <w:tblPr>
        <w:tblStyle w:val="GridTable4-Accent11"/>
        <w:tblW w:w="0" w:type="auto"/>
        <w:tblLook w:val="04A0" w:firstRow="1" w:lastRow="0" w:firstColumn="1" w:lastColumn="0" w:noHBand="0" w:noVBand="1"/>
      </w:tblPr>
      <w:tblGrid>
        <w:gridCol w:w="1075"/>
        <w:gridCol w:w="1890"/>
        <w:gridCol w:w="2217"/>
        <w:gridCol w:w="1696"/>
        <w:gridCol w:w="1346"/>
        <w:gridCol w:w="1346"/>
      </w:tblGrid>
      <w:tr w:rsidR="004B64A9" w:rsidRPr="007B3A8A" w14:paraId="59067130" w14:textId="77777777" w:rsidTr="006F05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6"/>
          </w:tcPr>
          <w:p w14:paraId="5D1FAD82" w14:textId="77777777" w:rsidR="004B64A9" w:rsidRPr="007B3A8A" w:rsidRDefault="004B64A9" w:rsidP="004B64A9">
            <w:pPr>
              <w:jc w:val="center"/>
              <w:rPr>
                <w:b w:val="0"/>
              </w:rPr>
            </w:pPr>
            <w:r w:rsidRPr="007B3A8A">
              <w:rPr>
                <w:b w:val="0"/>
              </w:rPr>
              <w:lastRenderedPageBreak/>
              <w:t xml:space="preserve">Example Method of Summarizing NWEA End of Year Reading RIT Outcomes Compared to </w:t>
            </w:r>
          </w:p>
          <w:p w14:paraId="23504226" w14:textId="77777777" w:rsidR="004B64A9" w:rsidRPr="007B3A8A" w:rsidRDefault="004B64A9" w:rsidP="004B64A9">
            <w:pPr>
              <w:jc w:val="center"/>
              <w:rPr>
                <w:b w:val="0"/>
              </w:rPr>
            </w:pPr>
            <w:r w:rsidRPr="007B3A8A">
              <w:rPr>
                <w:b w:val="0"/>
              </w:rPr>
              <w:t>NWEA Alternative Norming Sample Averages</w:t>
            </w:r>
          </w:p>
        </w:tc>
      </w:tr>
      <w:tr w:rsidR="00884CD4" w:rsidRPr="007B3A8A" w14:paraId="5E7FA6EF" w14:textId="77777777" w:rsidTr="006F0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7311FEB" w14:textId="77777777" w:rsidR="00884CD4" w:rsidRPr="007B3A8A" w:rsidRDefault="00884CD4" w:rsidP="001D740C">
            <w:pPr>
              <w:jc w:val="center"/>
              <w:rPr>
                <w:b w:val="0"/>
              </w:rPr>
            </w:pPr>
            <w:r w:rsidRPr="007B3A8A">
              <w:rPr>
                <w:b w:val="0"/>
              </w:rPr>
              <w:t>Grade</w:t>
            </w:r>
          </w:p>
        </w:tc>
        <w:tc>
          <w:tcPr>
            <w:tcW w:w="1890" w:type="dxa"/>
          </w:tcPr>
          <w:p w14:paraId="62A26046"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Assessment Term</w:t>
            </w:r>
          </w:p>
        </w:tc>
        <w:tc>
          <w:tcPr>
            <w:tcW w:w="2217" w:type="dxa"/>
          </w:tcPr>
          <w:p w14:paraId="0A543879"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Number of Students with Valid Reading RIT Scores</w:t>
            </w:r>
          </w:p>
        </w:tc>
        <w:tc>
          <w:tcPr>
            <w:tcW w:w="1696" w:type="dxa"/>
          </w:tcPr>
          <w:p w14:paraId="5C0721AB"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Average Reading RIT</w:t>
            </w:r>
          </w:p>
        </w:tc>
        <w:tc>
          <w:tcPr>
            <w:tcW w:w="1346" w:type="dxa"/>
          </w:tcPr>
          <w:p w14:paraId="18A3814E"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NWEA Alt Norm</w:t>
            </w:r>
          </w:p>
        </w:tc>
        <w:tc>
          <w:tcPr>
            <w:tcW w:w="1346" w:type="dxa"/>
          </w:tcPr>
          <w:p w14:paraId="53A43B31"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Difference</w:t>
            </w:r>
          </w:p>
        </w:tc>
      </w:tr>
      <w:tr w:rsidR="00884CD4" w:rsidRPr="007B3A8A" w14:paraId="341FB467" w14:textId="77777777" w:rsidTr="006F0559">
        <w:tc>
          <w:tcPr>
            <w:cnfStyle w:val="001000000000" w:firstRow="0" w:lastRow="0" w:firstColumn="1" w:lastColumn="0" w:oddVBand="0" w:evenVBand="0" w:oddHBand="0" w:evenHBand="0" w:firstRowFirstColumn="0" w:firstRowLastColumn="0" w:lastRowFirstColumn="0" w:lastRowLastColumn="0"/>
            <w:tcW w:w="1075" w:type="dxa"/>
          </w:tcPr>
          <w:p w14:paraId="6233FA63" w14:textId="77777777" w:rsidR="00884CD4" w:rsidRPr="007B3A8A" w:rsidRDefault="00884CD4" w:rsidP="001D740C">
            <w:pPr>
              <w:jc w:val="center"/>
            </w:pPr>
            <w:r w:rsidRPr="007B3A8A">
              <w:t>9</w:t>
            </w:r>
          </w:p>
        </w:tc>
        <w:tc>
          <w:tcPr>
            <w:tcW w:w="1890" w:type="dxa"/>
          </w:tcPr>
          <w:p w14:paraId="7F198074"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Winter</w:t>
            </w:r>
          </w:p>
        </w:tc>
        <w:tc>
          <w:tcPr>
            <w:tcW w:w="2217" w:type="dxa"/>
          </w:tcPr>
          <w:p w14:paraId="1061CFD7"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22</w:t>
            </w:r>
          </w:p>
        </w:tc>
        <w:tc>
          <w:tcPr>
            <w:tcW w:w="1696" w:type="dxa"/>
          </w:tcPr>
          <w:p w14:paraId="136F1B96"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206.5</w:t>
            </w:r>
          </w:p>
        </w:tc>
        <w:tc>
          <w:tcPr>
            <w:tcW w:w="1346" w:type="dxa"/>
          </w:tcPr>
          <w:p w14:paraId="288210FA"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210.0</w:t>
            </w:r>
          </w:p>
        </w:tc>
        <w:tc>
          <w:tcPr>
            <w:tcW w:w="1346" w:type="dxa"/>
          </w:tcPr>
          <w:p w14:paraId="20D2053D" w14:textId="77777777" w:rsidR="00884CD4" w:rsidRPr="007B3A8A" w:rsidRDefault="0089289C" w:rsidP="001D740C">
            <w:pPr>
              <w:jc w:val="center"/>
              <w:cnfStyle w:val="000000000000" w:firstRow="0" w:lastRow="0" w:firstColumn="0" w:lastColumn="0" w:oddVBand="0" w:evenVBand="0" w:oddHBand="0" w:evenHBand="0" w:firstRowFirstColumn="0" w:firstRowLastColumn="0" w:lastRowFirstColumn="0" w:lastRowLastColumn="0"/>
            </w:pPr>
            <w:r w:rsidRPr="007B3A8A">
              <w:t>-3.5</w:t>
            </w:r>
          </w:p>
        </w:tc>
      </w:tr>
      <w:tr w:rsidR="00884CD4" w:rsidRPr="007B3A8A" w14:paraId="5AB05CB4" w14:textId="77777777" w:rsidTr="006F0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F589295" w14:textId="77777777" w:rsidR="00884CD4" w:rsidRPr="007B3A8A" w:rsidRDefault="00884CD4" w:rsidP="001D740C">
            <w:pPr>
              <w:jc w:val="center"/>
            </w:pPr>
            <w:r w:rsidRPr="007B3A8A">
              <w:t>9</w:t>
            </w:r>
          </w:p>
        </w:tc>
        <w:tc>
          <w:tcPr>
            <w:tcW w:w="1890" w:type="dxa"/>
          </w:tcPr>
          <w:p w14:paraId="43FC3CB0"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Spring</w:t>
            </w:r>
          </w:p>
        </w:tc>
        <w:tc>
          <w:tcPr>
            <w:tcW w:w="2217" w:type="dxa"/>
          </w:tcPr>
          <w:p w14:paraId="3EB10E9E"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60</w:t>
            </w:r>
          </w:p>
        </w:tc>
        <w:tc>
          <w:tcPr>
            <w:tcW w:w="1696" w:type="dxa"/>
          </w:tcPr>
          <w:p w14:paraId="298AA5B5"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204.0</w:t>
            </w:r>
          </w:p>
        </w:tc>
        <w:tc>
          <w:tcPr>
            <w:tcW w:w="1346" w:type="dxa"/>
          </w:tcPr>
          <w:p w14:paraId="4703D038"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210.2</w:t>
            </w:r>
          </w:p>
        </w:tc>
        <w:tc>
          <w:tcPr>
            <w:tcW w:w="1346" w:type="dxa"/>
          </w:tcPr>
          <w:p w14:paraId="7857C869"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w:t>
            </w:r>
            <w:r w:rsidR="0089289C" w:rsidRPr="007B3A8A">
              <w:t>6.2</w:t>
            </w:r>
          </w:p>
        </w:tc>
      </w:tr>
      <w:tr w:rsidR="00884CD4" w:rsidRPr="007B3A8A" w14:paraId="3D0209E8" w14:textId="77777777" w:rsidTr="006F0559">
        <w:tc>
          <w:tcPr>
            <w:cnfStyle w:val="001000000000" w:firstRow="0" w:lastRow="0" w:firstColumn="1" w:lastColumn="0" w:oddVBand="0" w:evenVBand="0" w:oddHBand="0" w:evenHBand="0" w:firstRowFirstColumn="0" w:firstRowLastColumn="0" w:lastRowFirstColumn="0" w:lastRowLastColumn="0"/>
            <w:tcW w:w="1075" w:type="dxa"/>
          </w:tcPr>
          <w:p w14:paraId="3AE14945" w14:textId="77777777" w:rsidR="00884CD4" w:rsidRPr="007B3A8A" w:rsidRDefault="00884CD4" w:rsidP="001D740C">
            <w:pPr>
              <w:jc w:val="center"/>
            </w:pPr>
            <w:r w:rsidRPr="007B3A8A">
              <w:t>10</w:t>
            </w:r>
          </w:p>
        </w:tc>
        <w:tc>
          <w:tcPr>
            <w:tcW w:w="1890" w:type="dxa"/>
          </w:tcPr>
          <w:p w14:paraId="6FC4BAC6"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Winter</w:t>
            </w:r>
          </w:p>
        </w:tc>
        <w:tc>
          <w:tcPr>
            <w:tcW w:w="2217" w:type="dxa"/>
          </w:tcPr>
          <w:p w14:paraId="693E2E8B"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3</w:t>
            </w:r>
          </w:p>
        </w:tc>
        <w:tc>
          <w:tcPr>
            <w:tcW w:w="1696" w:type="dxa"/>
          </w:tcPr>
          <w:p w14:paraId="118C8B00" w14:textId="77777777" w:rsidR="00884CD4" w:rsidRPr="007B3A8A" w:rsidRDefault="006D501F" w:rsidP="001D740C">
            <w:pPr>
              <w:jc w:val="center"/>
              <w:cnfStyle w:val="000000000000" w:firstRow="0" w:lastRow="0" w:firstColumn="0" w:lastColumn="0" w:oddVBand="0" w:evenVBand="0" w:oddHBand="0" w:evenHBand="0" w:firstRowFirstColumn="0" w:firstRowLastColumn="0" w:lastRowFirstColumn="0" w:lastRowLastColumn="0"/>
            </w:pPr>
            <w:r w:rsidRPr="007B3A8A">
              <w:t>199.0</w:t>
            </w:r>
          </w:p>
        </w:tc>
        <w:tc>
          <w:tcPr>
            <w:tcW w:w="1346" w:type="dxa"/>
          </w:tcPr>
          <w:p w14:paraId="57BD462E"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210.2</w:t>
            </w:r>
          </w:p>
        </w:tc>
        <w:tc>
          <w:tcPr>
            <w:tcW w:w="1346" w:type="dxa"/>
          </w:tcPr>
          <w:p w14:paraId="133A41FC" w14:textId="77777777" w:rsidR="00884CD4" w:rsidRPr="007B3A8A" w:rsidRDefault="006D501F" w:rsidP="001D740C">
            <w:pPr>
              <w:jc w:val="center"/>
              <w:cnfStyle w:val="000000000000" w:firstRow="0" w:lastRow="0" w:firstColumn="0" w:lastColumn="0" w:oddVBand="0" w:evenVBand="0" w:oddHBand="0" w:evenHBand="0" w:firstRowFirstColumn="0" w:firstRowLastColumn="0" w:lastRowFirstColumn="0" w:lastRowLastColumn="0"/>
            </w:pPr>
            <w:r w:rsidRPr="007B3A8A">
              <w:t>-11.2</w:t>
            </w:r>
          </w:p>
        </w:tc>
      </w:tr>
      <w:tr w:rsidR="00884CD4" w:rsidRPr="007B3A8A" w14:paraId="63057B47" w14:textId="77777777" w:rsidTr="006F0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242ED50" w14:textId="77777777" w:rsidR="00884CD4" w:rsidRPr="007B3A8A" w:rsidRDefault="00884CD4" w:rsidP="001D740C">
            <w:pPr>
              <w:jc w:val="center"/>
            </w:pPr>
            <w:r w:rsidRPr="007B3A8A">
              <w:t>10</w:t>
            </w:r>
          </w:p>
        </w:tc>
        <w:tc>
          <w:tcPr>
            <w:tcW w:w="1890" w:type="dxa"/>
          </w:tcPr>
          <w:p w14:paraId="2C96DC59"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Spring</w:t>
            </w:r>
          </w:p>
        </w:tc>
        <w:tc>
          <w:tcPr>
            <w:tcW w:w="2217" w:type="dxa"/>
          </w:tcPr>
          <w:p w14:paraId="32900458"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52</w:t>
            </w:r>
          </w:p>
        </w:tc>
        <w:tc>
          <w:tcPr>
            <w:tcW w:w="1696" w:type="dxa"/>
          </w:tcPr>
          <w:p w14:paraId="5A037EC8"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207.7</w:t>
            </w:r>
          </w:p>
        </w:tc>
        <w:tc>
          <w:tcPr>
            <w:tcW w:w="1346" w:type="dxa"/>
          </w:tcPr>
          <w:p w14:paraId="53239E30"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211.3</w:t>
            </w:r>
          </w:p>
        </w:tc>
        <w:tc>
          <w:tcPr>
            <w:tcW w:w="1346" w:type="dxa"/>
          </w:tcPr>
          <w:p w14:paraId="187887FC"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-3.6</w:t>
            </w:r>
          </w:p>
        </w:tc>
      </w:tr>
      <w:tr w:rsidR="00884CD4" w:rsidRPr="007B3A8A" w14:paraId="0071E342" w14:textId="77777777" w:rsidTr="006F0559">
        <w:tc>
          <w:tcPr>
            <w:cnfStyle w:val="001000000000" w:firstRow="0" w:lastRow="0" w:firstColumn="1" w:lastColumn="0" w:oddVBand="0" w:evenVBand="0" w:oddHBand="0" w:evenHBand="0" w:firstRowFirstColumn="0" w:firstRowLastColumn="0" w:lastRowFirstColumn="0" w:lastRowLastColumn="0"/>
            <w:tcW w:w="1075" w:type="dxa"/>
          </w:tcPr>
          <w:p w14:paraId="64573D7D" w14:textId="77777777" w:rsidR="00884CD4" w:rsidRPr="007B3A8A" w:rsidRDefault="00884CD4" w:rsidP="001D740C">
            <w:pPr>
              <w:jc w:val="center"/>
            </w:pPr>
            <w:r w:rsidRPr="007B3A8A">
              <w:t>11</w:t>
            </w:r>
          </w:p>
        </w:tc>
        <w:tc>
          <w:tcPr>
            <w:tcW w:w="1890" w:type="dxa"/>
          </w:tcPr>
          <w:p w14:paraId="01DED76E"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Winter</w:t>
            </w:r>
          </w:p>
        </w:tc>
        <w:tc>
          <w:tcPr>
            <w:tcW w:w="2217" w:type="dxa"/>
          </w:tcPr>
          <w:p w14:paraId="5CFB4378"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25</w:t>
            </w:r>
          </w:p>
        </w:tc>
        <w:tc>
          <w:tcPr>
            <w:tcW w:w="1696" w:type="dxa"/>
          </w:tcPr>
          <w:p w14:paraId="2E582864"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209.0</w:t>
            </w:r>
          </w:p>
        </w:tc>
        <w:tc>
          <w:tcPr>
            <w:tcW w:w="1346" w:type="dxa"/>
          </w:tcPr>
          <w:p w14:paraId="07124DFD" w14:textId="77777777" w:rsidR="00884CD4" w:rsidRPr="007B3A8A" w:rsidRDefault="0089289C" w:rsidP="001D740C">
            <w:pPr>
              <w:jc w:val="center"/>
              <w:cnfStyle w:val="000000000000" w:firstRow="0" w:lastRow="0" w:firstColumn="0" w:lastColumn="0" w:oddVBand="0" w:evenVBand="0" w:oddHBand="0" w:evenHBand="0" w:firstRowFirstColumn="0" w:firstRowLastColumn="0" w:lastRowFirstColumn="0" w:lastRowLastColumn="0"/>
            </w:pPr>
            <w:r w:rsidRPr="007B3A8A">
              <w:t>212.5</w:t>
            </w:r>
          </w:p>
        </w:tc>
        <w:tc>
          <w:tcPr>
            <w:tcW w:w="1346" w:type="dxa"/>
          </w:tcPr>
          <w:p w14:paraId="6446853A" w14:textId="77777777" w:rsidR="00884CD4" w:rsidRPr="007B3A8A" w:rsidRDefault="0089289C" w:rsidP="001D740C">
            <w:pPr>
              <w:jc w:val="center"/>
              <w:cnfStyle w:val="000000000000" w:firstRow="0" w:lastRow="0" w:firstColumn="0" w:lastColumn="0" w:oddVBand="0" w:evenVBand="0" w:oddHBand="0" w:evenHBand="0" w:firstRowFirstColumn="0" w:firstRowLastColumn="0" w:lastRowFirstColumn="0" w:lastRowLastColumn="0"/>
            </w:pPr>
            <w:r w:rsidRPr="007B3A8A">
              <w:t>-3.5</w:t>
            </w:r>
          </w:p>
        </w:tc>
      </w:tr>
      <w:tr w:rsidR="00884CD4" w:rsidRPr="007B3A8A" w14:paraId="3838A912" w14:textId="77777777" w:rsidTr="006F0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2C27FEA5" w14:textId="77777777" w:rsidR="00884CD4" w:rsidRPr="007B3A8A" w:rsidRDefault="00884CD4" w:rsidP="001D740C">
            <w:pPr>
              <w:jc w:val="center"/>
            </w:pPr>
            <w:r w:rsidRPr="007B3A8A">
              <w:t>11</w:t>
            </w:r>
          </w:p>
        </w:tc>
        <w:tc>
          <w:tcPr>
            <w:tcW w:w="1890" w:type="dxa"/>
          </w:tcPr>
          <w:p w14:paraId="1560C51B"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Spring</w:t>
            </w:r>
          </w:p>
        </w:tc>
        <w:tc>
          <w:tcPr>
            <w:tcW w:w="2217" w:type="dxa"/>
          </w:tcPr>
          <w:p w14:paraId="3C764E86"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40</w:t>
            </w:r>
          </w:p>
        </w:tc>
        <w:tc>
          <w:tcPr>
            <w:tcW w:w="1696" w:type="dxa"/>
          </w:tcPr>
          <w:p w14:paraId="21AF453C"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210.0</w:t>
            </w:r>
          </w:p>
        </w:tc>
        <w:tc>
          <w:tcPr>
            <w:tcW w:w="1346" w:type="dxa"/>
          </w:tcPr>
          <w:p w14:paraId="5BFFC2CC"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212.2</w:t>
            </w:r>
          </w:p>
        </w:tc>
        <w:tc>
          <w:tcPr>
            <w:tcW w:w="1346" w:type="dxa"/>
          </w:tcPr>
          <w:p w14:paraId="7DE0E831"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-2.2</w:t>
            </w:r>
          </w:p>
        </w:tc>
      </w:tr>
      <w:tr w:rsidR="00884CD4" w:rsidRPr="007B3A8A" w14:paraId="212006EC" w14:textId="77777777" w:rsidTr="006F0559">
        <w:tc>
          <w:tcPr>
            <w:cnfStyle w:val="001000000000" w:firstRow="0" w:lastRow="0" w:firstColumn="1" w:lastColumn="0" w:oddVBand="0" w:evenVBand="0" w:oddHBand="0" w:evenHBand="0" w:firstRowFirstColumn="0" w:firstRowLastColumn="0" w:lastRowFirstColumn="0" w:lastRowLastColumn="0"/>
            <w:tcW w:w="1075" w:type="dxa"/>
          </w:tcPr>
          <w:p w14:paraId="70BAE862" w14:textId="77777777" w:rsidR="00884CD4" w:rsidRPr="007B3A8A" w:rsidRDefault="00884CD4" w:rsidP="001D740C">
            <w:pPr>
              <w:jc w:val="center"/>
            </w:pPr>
            <w:r w:rsidRPr="007B3A8A">
              <w:t>12</w:t>
            </w:r>
          </w:p>
        </w:tc>
        <w:tc>
          <w:tcPr>
            <w:tcW w:w="1890" w:type="dxa"/>
          </w:tcPr>
          <w:p w14:paraId="4D71F76E"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Winter</w:t>
            </w:r>
          </w:p>
        </w:tc>
        <w:tc>
          <w:tcPr>
            <w:tcW w:w="2217" w:type="dxa"/>
          </w:tcPr>
          <w:p w14:paraId="282E0C4E"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55</w:t>
            </w:r>
          </w:p>
        </w:tc>
        <w:tc>
          <w:tcPr>
            <w:tcW w:w="1696" w:type="dxa"/>
          </w:tcPr>
          <w:p w14:paraId="099AE1E8" w14:textId="77777777" w:rsidR="00884CD4" w:rsidRPr="007B3A8A" w:rsidRDefault="00884CD4" w:rsidP="001D740C">
            <w:pPr>
              <w:jc w:val="center"/>
              <w:cnfStyle w:val="000000000000" w:firstRow="0" w:lastRow="0" w:firstColumn="0" w:lastColumn="0" w:oddVBand="0" w:evenVBand="0" w:oddHBand="0" w:evenHBand="0" w:firstRowFirstColumn="0" w:firstRowLastColumn="0" w:lastRowFirstColumn="0" w:lastRowLastColumn="0"/>
            </w:pPr>
            <w:r w:rsidRPr="007B3A8A">
              <w:t>212.3</w:t>
            </w:r>
          </w:p>
        </w:tc>
        <w:tc>
          <w:tcPr>
            <w:tcW w:w="1346" w:type="dxa"/>
          </w:tcPr>
          <w:p w14:paraId="15D94565" w14:textId="77777777" w:rsidR="00884CD4" w:rsidRPr="007B3A8A" w:rsidRDefault="0089289C" w:rsidP="001D740C">
            <w:pPr>
              <w:jc w:val="center"/>
              <w:cnfStyle w:val="000000000000" w:firstRow="0" w:lastRow="0" w:firstColumn="0" w:lastColumn="0" w:oddVBand="0" w:evenVBand="0" w:oddHBand="0" w:evenHBand="0" w:firstRowFirstColumn="0" w:firstRowLastColumn="0" w:lastRowFirstColumn="0" w:lastRowLastColumn="0"/>
            </w:pPr>
            <w:r w:rsidRPr="007B3A8A">
              <w:t>213.0</w:t>
            </w:r>
          </w:p>
        </w:tc>
        <w:tc>
          <w:tcPr>
            <w:tcW w:w="1346" w:type="dxa"/>
          </w:tcPr>
          <w:p w14:paraId="4B47EB70" w14:textId="77777777" w:rsidR="00884CD4" w:rsidRPr="007B3A8A" w:rsidRDefault="0089289C" w:rsidP="001D740C">
            <w:pPr>
              <w:jc w:val="center"/>
              <w:cnfStyle w:val="000000000000" w:firstRow="0" w:lastRow="0" w:firstColumn="0" w:lastColumn="0" w:oddVBand="0" w:evenVBand="0" w:oddHBand="0" w:evenHBand="0" w:firstRowFirstColumn="0" w:firstRowLastColumn="0" w:lastRowFirstColumn="0" w:lastRowLastColumn="0"/>
            </w:pPr>
            <w:r w:rsidRPr="007B3A8A">
              <w:t>-0.7</w:t>
            </w:r>
          </w:p>
        </w:tc>
      </w:tr>
      <w:tr w:rsidR="00884CD4" w:rsidRPr="007B3A8A" w14:paraId="72AAA71F" w14:textId="77777777" w:rsidTr="006F0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4B66067" w14:textId="77777777" w:rsidR="00884CD4" w:rsidRPr="007B3A8A" w:rsidRDefault="00884CD4" w:rsidP="001D740C">
            <w:pPr>
              <w:jc w:val="center"/>
            </w:pPr>
            <w:r w:rsidRPr="007B3A8A">
              <w:t>12</w:t>
            </w:r>
          </w:p>
        </w:tc>
        <w:tc>
          <w:tcPr>
            <w:tcW w:w="1890" w:type="dxa"/>
          </w:tcPr>
          <w:p w14:paraId="439D32FF"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Spring</w:t>
            </w:r>
          </w:p>
        </w:tc>
        <w:tc>
          <w:tcPr>
            <w:tcW w:w="2217" w:type="dxa"/>
          </w:tcPr>
          <w:p w14:paraId="00BA49D7"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42</w:t>
            </w:r>
          </w:p>
        </w:tc>
        <w:tc>
          <w:tcPr>
            <w:tcW w:w="1696" w:type="dxa"/>
          </w:tcPr>
          <w:p w14:paraId="05AF717C" w14:textId="77777777" w:rsidR="00884CD4" w:rsidRPr="007B3A8A" w:rsidRDefault="00884CD4" w:rsidP="001D740C">
            <w:pPr>
              <w:jc w:val="center"/>
              <w:cnfStyle w:val="000000100000" w:firstRow="0" w:lastRow="0" w:firstColumn="0" w:lastColumn="0" w:oddVBand="0" w:evenVBand="0" w:oddHBand="1" w:evenHBand="0" w:firstRowFirstColumn="0" w:firstRowLastColumn="0" w:lastRowFirstColumn="0" w:lastRowLastColumn="0"/>
            </w:pPr>
            <w:r w:rsidRPr="007B3A8A">
              <w:t>211.5</w:t>
            </w:r>
          </w:p>
        </w:tc>
        <w:tc>
          <w:tcPr>
            <w:tcW w:w="1346" w:type="dxa"/>
          </w:tcPr>
          <w:p w14:paraId="36A15440"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212.6</w:t>
            </w:r>
          </w:p>
        </w:tc>
        <w:tc>
          <w:tcPr>
            <w:tcW w:w="1346" w:type="dxa"/>
          </w:tcPr>
          <w:p w14:paraId="6629F50B" w14:textId="77777777" w:rsidR="00884CD4" w:rsidRPr="007B3A8A" w:rsidRDefault="0089289C" w:rsidP="001D740C">
            <w:pPr>
              <w:jc w:val="center"/>
              <w:cnfStyle w:val="000000100000" w:firstRow="0" w:lastRow="0" w:firstColumn="0" w:lastColumn="0" w:oddVBand="0" w:evenVBand="0" w:oddHBand="1" w:evenHBand="0" w:firstRowFirstColumn="0" w:firstRowLastColumn="0" w:lastRowFirstColumn="0" w:lastRowLastColumn="0"/>
            </w:pPr>
            <w:r w:rsidRPr="007B3A8A">
              <w:t>-1.1</w:t>
            </w:r>
          </w:p>
        </w:tc>
      </w:tr>
      <w:tr w:rsidR="006D501F" w:rsidRPr="007B3A8A" w14:paraId="15E1E744" w14:textId="77777777" w:rsidTr="006F0559">
        <w:tc>
          <w:tcPr>
            <w:cnfStyle w:val="001000000000" w:firstRow="0" w:lastRow="0" w:firstColumn="1" w:lastColumn="0" w:oddVBand="0" w:evenVBand="0" w:oddHBand="0" w:evenHBand="0" w:firstRowFirstColumn="0" w:firstRowLastColumn="0" w:lastRowFirstColumn="0" w:lastRowLastColumn="0"/>
            <w:tcW w:w="8224" w:type="dxa"/>
            <w:gridSpan w:val="5"/>
          </w:tcPr>
          <w:p w14:paraId="17DA4155" w14:textId="77777777" w:rsidR="006D501F" w:rsidRPr="007B3A8A" w:rsidRDefault="006D501F" w:rsidP="006D501F">
            <w:pPr>
              <w:jc w:val="right"/>
              <w:rPr>
                <w:b w:val="0"/>
              </w:rPr>
            </w:pPr>
            <w:r w:rsidRPr="007B3A8A">
              <w:rPr>
                <w:b w:val="0"/>
              </w:rPr>
              <w:t>Weighted Average of the Differences</w:t>
            </w:r>
          </w:p>
        </w:tc>
        <w:tc>
          <w:tcPr>
            <w:tcW w:w="1346" w:type="dxa"/>
          </w:tcPr>
          <w:p w14:paraId="2B09111A" w14:textId="77777777" w:rsidR="006D501F" w:rsidRPr="007B3A8A" w:rsidRDefault="00B37CC5" w:rsidP="001D740C">
            <w:pPr>
              <w:jc w:val="center"/>
              <w:cnfStyle w:val="000000000000" w:firstRow="0" w:lastRow="0" w:firstColumn="0" w:lastColumn="0" w:oddVBand="0" w:evenVBand="0" w:oddHBand="0" w:evenHBand="0" w:firstRowFirstColumn="0" w:firstRowLastColumn="0" w:lastRowFirstColumn="0" w:lastRowLastColumn="0"/>
              <w:rPr>
                <w:b/>
              </w:rPr>
            </w:pPr>
            <w:r w:rsidRPr="007B3A8A">
              <w:rPr>
                <w:b/>
              </w:rPr>
              <w:t>-3.1</w:t>
            </w:r>
          </w:p>
        </w:tc>
      </w:tr>
    </w:tbl>
    <w:p w14:paraId="0F55B38A" w14:textId="77777777" w:rsidR="00C922EF" w:rsidRDefault="00C922EF" w:rsidP="00A60AF6">
      <w:pPr>
        <w:rPr>
          <w:sz w:val="22"/>
          <w:szCs w:val="22"/>
        </w:rPr>
      </w:pPr>
    </w:p>
    <w:p w14:paraId="1671E6DC" w14:textId="77777777" w:rsidR="00B37CC5" w:rsidRDefault="00B37CC5" w:rsidP="00A60AF6">
      <w:pPr>
        <w:rPr>
          <w:sz w:val="22"/>
          <w:szCs w:val="22"/>
        </w:rPr>
      </w:pPr>
      <w:r>
        <w:rPr>
          <w:sz w:val="22"/>
          <w:szCs w:val="22"/>
        </w:rPr>
        <w:t>Summarizing the results as a weighted average is important so that drastically different outcome based on only a few students (such as the large differences shown here for the 10</w:t>
      </w:r>
      <w:r w:rsidRPr="00B37CC5">
        <w:rPr>
          <w:sz w:val="22"/>
          <w:szCs w:val="22"/>
          <w:vertAlign w:val="superscript"/>
        </w:rPr>
        <w:t>th</w:t>
      </w:r>
      <w:r>
        <w:rPr>
          <w:sz w:val="22"/>
          <w:szCs w:val="22"/>
        </w:rPr>
        <w:t xml:space="preserve"> grade winter average, based on only 3 student) do not have a disproportionate influence on the overall outcome. </w:t>
      </w:r>
    </w:p>
    <w:p w14:paraId="2AB24084" w14:textId="77777777" w:rsidR="006D501F" w:rsidRDefault="006D501F" w:rsidP="00A60AF6">
      <w:pPr>
        <w:rPr>
          <w:sz w:val="22"/>
          <w:szCs w:val="22"/>
        </w:rPr>
      </w:pPr>
      <w:r>
        <w:rPr>
          <w:sz w:val="22"/>
          <w:szCs w:val="22"/>
        </w:rPr>
        <w:t>To arrive at the weighted average of the differences, multiply the number of students by the difference for each results, sum the products, and divide by the sum total number of students, as follows:</w:t>
      </w:r>
    </w:p>
    <w:p w14:paraId="1361E372" w14:textId="77777777" w:rsidR="006D501F" w:rsidRPr="006D501F" w:rsidRDefault="00B37CC5" w:rsidP="006D501F">
      <w:pPr>
        <w:pStyle w:val="NoSpacing"/>
        <w:jc w:val="center"/>
      </w:pPr>
      <w:r>
        <w:t>(22*-3.</w:t>
      </w:r>
      <w:r w:rsidR="006D501F" w:rsidRPr="006D501F">
        <w:t>5) + (60*-6.2) + (3*-11.2) + (52*-3.6) + (25*-3.5) + (40*-2.2) + (55*-0.7) + (42*-1.1)</w:t>
      </w:r>
    </w:p>
    <w:p w14:paraId="2D5F3793" w14:textId="77777777" w:rsidR="006D501F" w:rsidRPr="006D501F" w:rsidRDefault="006D501F" w:rsidP="006D501F">
      <w:pPr>
        <w:pStyle w:val="NoSpacing"/>
        <w:jc w:val="center"/>
      </w:pPr>
      <w:r w:rsidRPr="006D501F">
        <w:t>_____________________________________________________________________</w:t>
      </w:r>
    </w:p>
    <w:p w14:paraId="38E3CDDB" w14:textId="77777777" w:rsidR="007B3A8A" w:rsidRDefault="006D501F" w:rsidP="006D501F">
      <w:pPr>
        <w:pStyle w:val="NoSpacing"/>
        <w:jc w:val="center"/>
      </w:pPr>
      <w:r w:rsidRPr="006D501F">
        <w:t>(22</w:t>
      </w:r>
      <w:r w:rsidR="0057435A">
        <w:t xml:space="preserve"> </w:t>
      </w:r>
      <w:r w:rsidRPr="006D501F">
        <w:t>+</w:t>
      </w:r>
      <w:r w:rsidR="0057435A">
        <w:t xml:space="preserve"> </w:t>
      </w:r>
      <w:r w:rsidRPr="006D501F">
        <w:t>60</w:t>
      </w:r>
      <w:r w:rsidR="0057435A">
        <w:t xml:space="preserve"> </w:t>
      </w:r>
      <w:r w:rsidRPr="006D501F">
        <w:t>+</w:t>
      </w:r>
      <w:r w:rsidR="0057435A">
        <w:t xml:space="preserve"> </w:t>
      </w:r>
      <w:r w:rsidRPr="006D501F">
        <w:t>3</w:t>
      </w:r>
      <w:r w:rsidR="0057435A">
        <w:t xml:space="preserve"> </w:t>
      </w:r>
      <w:r w:rsidRPr="006D501F">
        <w:t>+</w:t>
      </w:r>
      <w:r w:rsidR="0057435A">
        <w:t xml:space="preserve"> </w:t>
      </w:r>
      <w:r w:rsidRPr="006D501F">
        <w:t>52</w:t>
      </w:r>
      <w:r w:rsidR="0057435A">
        <w:t xml:space="preserve"> </w:t>
      </w:r>
      <w:r w:rsidRPr="006D501F">
        <w:t>+</w:t>
      </w:r>
      <w:r w:rsidR="0057435A">
        <w:t xml:space="preserve"> </w:t>
      </w:r>
      <w:r w:rsidRPr="006D501F">
        <w:t>25</w:t>
      </w:r>
      <w:r w:rsidR="0057435A">
        <w:t xml:space="preserve"> </w:t>
      </w:r>
      <w:r w:rsidRPr="006D501F">
        <w:t>+</w:t>
      </w:r>
      <w:r w:rsidR="0057435A">
        <w:t xml:space="preserve"> </w:t>
      </w:r>
      <w:r w:rsidRPr="006D501F">
        <w:t>40</w:t>
      </w:r>
      <w:r w:rsidR="0057435A">
        <w:t xml:space="preserve"> </w:t>
      </w:r>
      <w:r w:rsidRPr="006D501F">
        <w:t>+</w:t>
      </w:r>
      <w:r w:rsidR="0057435A">
        <w:t xml:space="preserve"> </w:t>
      </w:r>
      <w:r w:rsidRPr="006D501F">
        <w:t>55</w:t>
      </w:r>
      <w:r w:rsidR="0057435A">
        <w:t xml:space="preserve"> </w:t>
      </w:r>
      <w:r w:rsidRPr="006D501F">
        <w:t>+42)</w:t>
      </w:r>
    </w:p>
    <w:p w14:paraId="165D2107" w14:textId="77777777" w:rsidR="00B0199C" w:rsidRDefault="00B0199C" w:rsidP="006D501F">
      <w:pPr>
        <w:pStyle w:val="NoSpacing"/>
        <w:jc w:val="center"/>
      </w:pPr>
    </w:p>
    <w:p w14:paraId="0DC8D48D" w14:textId="77777777" w:rsidR="00B0199C" w:rsidRDefault="00B0199C" w:rsidP="006D501F">
      <w:pPr>
        <w:pStyle w:val="NoSpacing"/>
        <w:jc w:val="center"/>
      </w:pPr>
    </w:p>
    <w:p w14:paraId="6C8ED1E1" w14:textId="77777777" w:rsidR="00B0199C" w:rsidRDefault="00B0199C" w:rsidP="006D501F">
      <w:pPr>
        <w:pStyle w:val="NoSpacing"/>
        <w:jc w:val="center"/>
      </w:pPr>
    </w:p>
    <w:p w14:paraId="3E168878" w14:textId="77777777" w:rsidR="00B0199C" w:rsidRDefault="00B0199C" w:rsidP="006D501F">
      <w:pPr>
        <w:pStyle w:val="NoSpacing"/>
        <w:jc w:val="center"/>
      </w:pPr>
    </w:p>
    <w:p w14:paraId="017E3472" w14:textId="77777777" w:rsidR="00B0199C" w:rsidRDefault="00B0199C" w:rsidP="006D501F">
      <w:pPr>
        <w:pStyle w:val="NoSpacing"/>
        <w:jc w:val="center"/>
      </w:pPr>
    </w:p>
    <w:p w14:paraId="61AEAC83" w14:textId="77777777" w:rsidR="00B0199C" w:rsidRDefault="00B0199C" w:rsidP="006D501F">
      <w:pPr>
        <w:pStyle w:val="NoSpacing"/>
        <w:jc w:val="center"/>
      </w:pPr>
    </w:p>
    <w:p w14:paraId="051D1927" w14:textId="77777777" w:rsidR="00B0199C" w:rsidRDefault="00B0199C" w:rsidP="006D501F">
      <w:pPr>
        <w:pStyle w:val="NoSpacing"/>
        <w:jc w:val="center"/>
      </w:pPr>
    </w:p>
    <w:p w14:paraId="485A99E6" w14:textId="77777777" w:rsidR="00B0199C" w:rsidRDefault="00B0199C" w:rsidP="006D501F">
      <w:pPr>
        <w:pStyle w:val="NoSpacing"/>
        <w:jc w:val="center"/>
      </w:pPr>
    </w:p>
    <w:p w14:paraId="56CEF740" w14:textId="77777777" w:rsidR="00B0199C" w:rsidRDefault="00B0199C" w:rsidP="006D501F">
      <w:pPr>
        <w:pStyle w:val="NoSpacing"/>
        <w:jc w:val="center"/>
      </w:pPr>
    </w:p>
    <w:p w14:paraId="5CF04543" w14:textId="77777777" w:rsidR="00B0199C" w:rsidRDefault="00B0199C" w:rsidP="006D501F">
      <w:pPr>
        <w:pStyle w:val="NoSpacing"/>
        <w:jc w:val="center"/>
      </w:pPr>
    </w:p>
    <w:p w14:paraId="089E1494" w14:textId="77777777" w:rsidR="00B0199C" w:rsidRDefault="00B0199C" w:rsidP="006D501F">
      <w:pPr>
        <w:pStyle w:val="NoSpacing"/>
        <w:jc w:val="center"/>
      </w:pPr>
    </w:p>
    <w:p w14:paraId="33882132" w14:textId="77777777" w:rsidR="00B0199C" w:rsidRDefault="00B0199C" w:rsidP="006D501F">
      <w:pPr>
        <w:pStyle w:val="NoSpacing"/>
        <w:jc w:val="center"/>
      </w:pPr>
    </w:p>
    <w:p w14:paraId="086E542F" w14:textId="77777777" w:rsidR="00B0199C" w:rsidRDefault="00B0199C" w:rsidP="006D501F">
      <w:pPr>
        <w:pStyle w:val="NoSpacing"/>
        <w:jc w:val="center"/>
      </w:pPr>
    </w:p>
    <w:p w14:paraId="1CEF7ADD" w14:textId="77777777" w:rsidR="00B0199C" w:rsidRPr="006D501F" w:rsidRDefault="00B0199C" w:rsidP="006D501F">
      <w:pPr>
        <w:pStyle w:val="NoSpacing"/>
        <w:jc w:val="center"/>
      </w:pPr>
    </w:p>
    <w:p w14:paraId="2A493A64" w14:textId="77777777" w:rsidR="001D7C99" w:rsidRDefault="0038301E" w:rsidP="00B37CC5">
      <w:pPr>
        <w:pStyle w:val="Heading2"/>
      </w:pPr>
      <w:bookmarkStart w:id="17" w:name="_Toc474843241"/>
      <w:bookmarkStart w:id="18" w:name="_Toc474940139"/>
      <w:r>
        <w:lastRenderedPageBreak/>
        <w:t>Ratings and Targets</w:t>
      </w:r>
      <w:bookmarkEnd w:id="17"/>
      <w:bookmarkEnd w:id="18"/>
    </w:p>
    <w:p w14:paraId="5651DA74" w14:textId="77777777" w:rsidR="00D728B9" w:rsidRPr="00B37CC5" w:rsidRDefault="00832378" w:rsidP="00B37CC5">
      <w:r>
        <w:t>Below is the table outing the target for each of the possible ratings for NWEA spring assessment results. We recommend rating the school on outcomes for math and reading separately, so that school improvement strategies may be aligned with the school’s strengths and challenges, which are then tied to their ac</w:t>
      </w:r>
      <w:r w:rsidR="002E5F98">
        <w:t>countability with the Authority.</w:t>
      </w:r>
    </w:p>
    <w:tbl>
      <w:tblPr>
        <w:tblStyle w:val="TableGrid"/>
        <w:tblW w:w="5000" w:type="pct"/>
        <w:jc w:val="center"/>
        <w:tblLook w:val="04A0" w:firstRow="1" w:lastRow="0" w:firstColumn="1" w:lastColumn="0" w:noHBand="0" w:noVBand="1"/>
      </w:tblPr>
      <w:tblGrid>
        <w:gridCol w:w="1454"/>
        <w:gridCol w:w="6924"/>
        <w:gridCol w:w="1418"/>
      </w:tblGrid>
      <w:tr w:rsidR="00E92E86" w:rsidRPr="00D84E39" w14:paraId="73823246" w14:textId="77777777" w:rsidTr="00E92E86">
        <w:trPr>
          <w:trHeight w:val="660"/>
          <w:jc w:val="center"/>
        </w:trPr>
        <w:tc>
          <w:tcPr>
            <w:tcW w:w="742" w:type="pct"/>
            <w:hideMark/>
          </w:tcPr>
          <w:p w14:paraId="1D3682F6" w14:textId="77777777" w:rsidR="00E92E86" w:rsidRPr="00D84E39" w:rsidRDefault="00E92E86" w:rsidP="00FC2647">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534" w:type="pct"/>
            <w:vAlign w:val="bottom"/>
            <w:hideMark/>
          </w:tcPr>
          <w:p w14:paraId="4F4AE3A5" w14:textId="77777777" w:rsidR="00E92E86" w:rsidRPr="00D84E39" w:rsidRDefault="00E92E86" w:rsidP="00B37CC5">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724" w:type="pct"/>
            <w:vAlign w:val="bottom"/>
          </w:tcPr>
          <w:p w14:paraId="070C0756" w14:textId="77777777" w:rsidR="00E92E86" w:rsidRDefault="00E92E86" w:rsidP="00E92E86">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E92E86" w:rsidRPr="00D84E39" w14:paraId="4343345B" w14:textId="77777777" w:rsidTr="006849D7">
        <w:trPr>
          <w:trHeight w:val="600"/>
          <w:jc w:val="center"/>
        </w:trPr>
        <w:tc>
          <w:tcPr>
            <w:tcW w:w="742" w:type="pct"/>
            <w:shd w:val="clear" w:color="auto" w:fill="8064A2" w:themeFill="accent4"/>
            <w:noWrap/>
            <w:vAlign w:val="bottom"/>
          </w:tcPr>
          <w:p w14:paraId="64CFA4EF" w14:textId="77777777" w:rsidR="00E92E86" w:rsidRPr="001D740C" w:rsidRDefault="00E92E86" w:rsidP="006849D7">
            <w:pPr>
              <w:jc w:val="center"/>
              <w:rPr>
                <w:rFonts w:ascii="Calibri" w:eastAsia="Times New Roman" w:hAnsi="Calibri" w:cs="Times New Roman"/>
                <w:b/>
                <w:bCs/>
              </w:rPr>
            </w:pPr>
            <w:r>
              <w:rPr>
                <w:rFonts w:ascii="Calibri" w:eastAsia="Times New Roman" w:hAnsi="Calibri" w:cs="Times New Roman"/>
                <w:b/>
                <w:bCs/>
              </w:rPr>
              <w:t>Exceptional</w:t>
            </w:r>
          </w:p>
        </w:tc>
        <w:tc>
          <w:tcPr>
            <w:tcW w:w="3534" w:type="pct"/>
            <w:vAlign w:val="bottom"/>
          </w:tcPr>
          <w:p w14:paraId="0CF74842" w14:textId="77777777" w:rsidR="00E92E86"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reading RIT and that of the NWEA alternative norming sample was +2 or higher.</w:t>
            </w:r>
          </w:p>
        </w:tc>
        <w:tc>
          <w:tcPr>
            <w:tcW w:w="724" w:type="pct"/>
            <w:vAlign w:val="bottom"/>
          </w:tcPr>
          <w:p w14:paraId="059BC0E1"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97.5</w:t>
            </w:r>
          </w:p>
        </w:tc>
      </w:tr>
      <w:tr w:rsidR="00E92E86" w:rsidRPr="00D84E39" w14:paraId="63945A9E" w14:textId="77777777" w:rsidTr="006849D7">
        <w:trPr>
          <w:trHeight w:val="600"/>
          <w:jc w:val="center"/>
        </w:trPr>
        <w:tc>
          <w:tcPr>
            <w:tcW w:w="742" w:type="pct"/>
            <w:shd w:val="clear" w:color="auto" w:fill="0070C0"/>
            <w:noWrap/>
            <w:vAlign w:val="bottom"/>
            <w:hideMark/>
          </w:tcPr>
          <w:p w14:paraId="043C5EE1" w14:textId="77777777" w:rsidR="00E92E86" w:rsidRPr="001D740C" w:rsidRDefault="00E92E86" w:rsidP="006849D7">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534" w:type="pct"/>
            <w:vAlign w:val="bottom"/>
            <w:hideMark/>
          </w:tcPr>
          <w:p w14:paraId="1B108CB9" w14:textId="77777777" w:rsidR="00E92E86" w:rsidRPr="00D84E39"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reading RIT and that of the NWEA alternative norming sample was between +1.1 and +1.9.</w:t>
            </w:r>
          </w:p>
        </w:tc>
        <w:tc>
          <w:tcPr>
            <w:tcW w:w="724" w:type="pct"/>
            <w:vAlign w:val="bottom"/>
          </w:tcPr>
          <w:p w14:paraId="64F34469"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85.0</w:t>
            </w:r>
          </w:p>
        </w:tc>
      </w:tr>
      <w:tr w:rsidR="00E92E86" w:rsidRPr="00D84E39" w14:paraId="3323DD5A" w14:textId="77777777" w:rsidTr="006849D7">
        <w:trPr>
          <w:trHeight w:val="600"/>
          <w:jc w:val="center"/>
        </w:trPr>
        <w:tc>
          <w:tcPr>
            <w:tcW w:w="742" w:type="pct"/>
            <w:shd w:val="clear" w:color="auto" w:fill="9BBB59" w:themeFill="accent3"/>
            <w:noWrap/>
            <w:vAlign w:val="bottom"/>
            <w:hideMark/>
          </w:tcPr>
          <w:p w14:paraId="4D653D82" w14:textId="77777777" w:rsidR="00E92E86" w:rsidRPr="001D740C" w:rsidRDefault="00E92E86" w:rsidP="006849D7">
            <w:pPr>
              <w:jc w:val="center"/>
              <w:rPr>
                <w:rFonts w:ascii="Calibri" w:eastAsia="Times New Roman" w:hAnsi="Calibri" w:cs="Times New Roman"/>
                <w:b/>
                <w:bCs/>
              </w:rPr>
            </w:pPr>
            <w:r>
              <w:rPr>
                <w:rFonts w:ascii="Calibri" w:eastAsia="Times New Roman" w:hAnsi="Calibri" w:cs="Times New Roman"/>
                <w:b/>
                <w:bCs/>
              </w:rPr>
              <w:t>Adequate</w:t>
            </w:r>
          </w:p>
        </w:tc>
        <w:tc>
          <w:tcPr>
            <w:tcW w:w="3534" w:type="pct"/>
            <w:vAlign w:val="bottom"/>
            <w:hideMark/>
          </w:tcPr>
          <w:p w14:paraId="3FF58376" w14:textId="77777777" w:rsidR="00E92E86" w:rsidRPr="00D84E39"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reading RIT and that of the NWEA alternative norming sample was between +0.1 and +1.0</w:t>
            </w:r>
          </w:p>
        </w:tc>
        <w:tc>
          <w:tcPr>
            <w:tcW w:w="724" w:type="pct"/>
            <w:vAlign w:val="bottom"/>
          </w:tcPr>
          <w:p w14:paraId="48C11A89"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62.5</w:t>
            </w:r>
          </w:p>
        </w:tc>
      </w:tr>
      <w:tr w:rsidR="00E92E86" w:rsidRPr="00D84E39" w14:paraId="09E54A09" w14:textId="77777777" w:rsidTr="006849D7">
        <w:trPr>
          <w:trHeight w:val="600"/>
          <w:jc w:val="center"/>
        </w:trPr>
        <w:tc>
          <w:tcPr>
            <w:tcW w:w="742" w:type="pct"/>
            <w:shd w:val="clear" w:color="auto" w:fill="FFFF00"/>
            <w:noWrap/>
            <w:vAlign w:val="bottom"/>
          </w:tcPr>
          <w:p w14:paraId="01EF8889" w14:textId="77777777" w:rsidR="00E92E86" w:rsidRDefault="00E92E86" w:rsidP="006849D7">
            <w:pPr>
              <w:jc w:val="center"/>
              <w:rPr>
                <w:rFonts w:ascii="Calibri" w:eastAsia="Times New Roman" w:hAnsi="Calibri" w:cs="Times New Roman"/>
                <w:b/>
                <w:bCs/>
              </w:rPr>
            </w:pPr>
            <w:r>
              <w:rPr>
                <w:rFonts w:ascii="Calibri" w:eastAsia="Times New Roman" w:hAnsi="Calibri" w:cs="Times New Roman"/>
                <w:b/>
                <w:bCs/>
              </w:rPr>
              <w:t>Approaches</w:t>
            </w:r>
          </w:p>
        </w:tc>
        <w:tc>
          <w:tcPr>
            <w:tcW w:w="3534" w:type="pct"/>
            <w:vAlign w:val="bottom"/>
          </w:tcPr>
          <w:p w14:paraId="5D55A425" w14:textId="77777777" w:rsidR="00E92E86"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RIT and the NWEA alternative norming sample was between -0.9 and 0.0</w:t>
            </w:r>
          </w:p>
        </w:tc>
        <w:tc>
          <w:tcPr>
            <w:tcW w:w="724" w:type="pct"/>
            <w:vAlign w:val="bottom"/>
          </w:tcPr>
          <w:p w14:paraId="3986F802"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37.5</w:t>
            </w:r>
          </w:p>
        </w:tc>
      </w:tr>
      <w:tr w:rsidR="00E92E86" w:rsidRPr="00D84E39" w14:paraId="19697189" w14:textId="77777777" w:rsidTr="006849D7">
        <w:trPr>
          <w:trHeight w:val="600"/>
          <w:jc w:val="center"/>
        </w:trPr>
        <w:tc>
          <w:tcPr>
            <w:tcW w:w="742" w:type="pct"/>
            <w:shd w:val="clear" w:color="auto" w:fill="FFC000"/>
            <w:noWrap/>
            <w:vAlign w:val="bottom"/>
          </w:tcPr>
          <w:p w14:paraId="3C55DE90" w14:textId="77777777" w:rsidR="00E92E86" w:rsidRPr="001D740C" w:rsidRDefault="00E92E86" w:rsidP="006849D7">
            <w:pPr>
              <w:jc w:val="center"/>
              <w:rPr>
                <w:rFonts w:ascii="Calibri" w:eastAsia="Times New Roman" w:hAnsi="Calibri" w:cs="Times New Roman"/>
                <w:b/>
                <w:bCs/>
              </w:rPr>
            </w:pPr>
            <w:r>
              <w:rPr>
                <w:rFonts w:ascii="Calibri" w:eastAsia="Times New Roman" w:hAnsi="Calibri" w:cs="Times New Roman"/>
                <w:b/>
                <w:bCs/>
              </w:rPr>
              <w:t>Unsatisfactory</w:t>
            </w:r>
          </w:p>
        </w:tc>
        <w:tc>
          <w:tcPr>
            <w:tcW w:w="3534" w:type="pct"/>
            <w:vAlign w:val="bottom"/>
          </w:tcPr>
          <w:p w14:paraId="454802FE" w14:textId="77777777" w:rsidR="00E92E86"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RIT and the NWEA alternative norming sample was between -1.9 and -1.0</w:t>
            </w:r>
          </w:p>
        </w:tc>
        <w:tc>
          <w:tcPr>
            <w:tcW w:w="724" w:type="pct"/>
            <w:vAlign w:val="bottom"/>
          </w:tcPr>
          <w:p w14:paraId="76A7AB74"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15.0</w:t>
            </w:r>
          </w:p>
        </w:tc>
      </w:tr>
      <w:tr w:rsidR="00E92E86" w:rsidRPr="00D84E39" w14:paraId="72F58C6D" w14:textId="77777777" w:rsidTr="006849D7">
        <w:trPr>
          <w:trHeight w:val="600"/>
          <w:jc w:val="center"/>
        </w:trPr>
        <w:tc>
          <w:tcPr>
            <w:tcW w:w="742" w:type="pct"/>
            <w:shd w:val="clear" w:color="auto" w:fill="C0504D" w:themeFill="accent2"/>
            <w:noWrap/>
            <w:vAlign w:val="bottom"/>
            <w:hideMark/>
          </w:tcPr>
          <w:p w14:paraId="7D3559ED" w14:textId="77777777" w:rsidR="00E92E86" w:rsidRPr="001D740C" w:rsidRDefault="00E92E86" w:rsidP="006849D7">
            <w:pPr>
              <w:jc w:val="center"/>
              <w:rPr>
                <w:rFonts w:ascii="Calibri" w:eastAsia="Times New Roman" w:hAnsi="Calibri" w:cs="Times New Roman"/>
                <w:b/>
                <w:bCs/>
              </w:rPr>
            </w:pPr>
            <w:r>
              <w:rPr>
                <w:rFonts w:ascii="Calibri" w:eastAsia="Times New Roman" w:hAnsi="Calibri" w:cs="Times New Roman"/>
                <w:b/>
                <w:bCs/>
              </w:rPr>
              <w:t>Critical</w:t>
            </w:r>
          </w:p>
        </w:tc>
        <w:tc>
          <w:tcPr>
            <w:tcW w:w="3534" w:type="pct"/>
            <w:vAlign w:val="bottom"/>
            <w:hideMark/>
          </w:tcPr>
          <w:p w14:paraId="02C7CC0B" w14:textId="77777777" w:rsidR="00E92E86" w:rsidRPr="00D84E39" w:rsidRDefault="00E92E86" w:rsidP="006849D7">
            <w:pPr>
              <w:rPr>
                <w:rFonts w:ascii="Calibri" w:eastAsia="Times New Roman" w:hAnsi="Calibri" w:cs="Times New Roman"/>
              </w:rPr>
            </w:pPr>
            <w:r>
              <w:rPr>
                <w:rFonts w:ascii="Calibri" w:eastAsia="Times New Roman" w:hAnsi="Calibri" w:cs="Times New Roman"/>
              </w:rPr>
              <w:t>The weighted average of the differences between Beacon’s end of year RIT and the NWEA alternative norming sample was -2 or lower.</w:t>
            </w:r>
          </w:p>
        </w:tc>
        <w:tc>
          <w:tcPr>
            <w:tcW w:w="724" w:type="pct"/>
            <w:vAlign w:val="bottom"/>
          </w:tcPr>
          <w:p w14:paraId="45EB67AF" w14:textId="77777777" w:rsidR="00E92E86" w:rsidRDefault="00E92E86" w:rsidP="006849D7">
            <w:pPr>
              <w:jc w:val="center"/>
              <w:rPr>
                <w:rFonts w:ascii="Calibri" w:eastAsia="Times New Roman" w:hAnsi="Calibri" w:cs="Times New Roman"/>
              </w:rPr>
            </w:pPr>
            <w:r>
              <w:rPr>
                <w:rFonts w:ascii="Calibri" w:eastAsia="Times New Roman" w:hAnsi="Calibri" w:cs="Times New Roman"/>
              </w:rPr>
              <w:t>2.5</w:t>
            </w:r>
          </w:p>
        </w:tc>
      </w:tr>
    </w:tbl>
    <w:p w14:paraId="511918FF" w14:textId="77777777" w:rsidR="00BC7098" w:rsidRDefault="00BC7098" w:rsidP="009F35C9"/>
    <w:p w14:paraId="4AE0E1F3" w14:textId="77777777" w:rsidR="002E5F98" w:rsidRDefault="002E5F98" w:rsidP="009F35C9"/>
    <w:p w14:paraId="30491606" w14:textId="77777777" w:rsidR="002E5F98" w:rsidRDefault="002E5F98" w:rsidP="009F35C9"/>
    <w:p w14:paraId="7EDEA97C" w14:textId="77777777" w:rsidR="002E5F98" w:rsidRDefault="002E5F98" w:rsidP="009F35C9"/>
    <w:p w14:paraId="3F18FAED" w14:textId="77777777" w:rsidR="002E5F98" w:rsidRDefault="002E5F98" w:rsidP="009F35C9"/>
    <w:p w14:paraId="3C5F19C2" w14:textId="77777777" w:rsidR="002E5F98" w:rsidRDefault="002E5F98" w:rsidP="009F35C9"/>
    <w:p w14:paraId="276C0224" w14:textId="77777777" w:rsidR="002E5F98" w:rsidRDefault="002E5F98" w:rsidP="009F35C9"/>
    <w:p w14:paraId="759AF0AC" w14:textId="77777777" w:rsidR="002E5F98" w:rsidRDefault="002E5F98" w:rsidP="009F35C9"/>
    <w:p w14:paraId="540FEF45" w14:textId="77777777" w:rsidR="002E5F98" w:rsidRDefault="002E5F98" w:rsidP="009F35C9"/>
    <w:p w14:paraId="025AFC6B" w14:textId="77777777" w:rsidR="002E5F98" w:rsidRDefault="002E5F98" w:rsidP="009F35C9"/>
    <w:p w14:paraId="779239E2" w14:textId="77777777" w:rsidR="002E5F98" w:rsidRDefault="002E5F98" w:rsidP="009F35C9"/>
    <w:p w14:paraId="3FC388F7" w14:textId="77777777" w:rsidR="002E5F98" w:rsidRDefault="002E5F98" w:rsidP="009F35C9"/>
    <w:p w14:paraId="4B6A51DB" w14:textId="77777777" w:rsidR="002E5F98" w:rsidRDefault="002E5F98" w:rsidP="009F35C9"/>
    <w:p w14:paraId="48D32E80" w14:textId="77777777" w:rsidR="00D32908" w:rsidRPr="009B3E6A" w:rsidRDefault="00E501D6" w:rsidP="005C3ADC">
      <w:pPr>
        <w:pStyle w:val="Heading1"/>
        <w:tabs>
          <w:tab w:val="left" w:pos="4924"/>
        </w:tabs>
        <w:ind w:left="119" w:right="180"/>
      </w:pPr>
      <w:bookmarkStart w:id="19" w:name="_Toc474838419"/>
      <w:bookmarkStart w:id="20" w:name="_Toc474940140"/>
      <w:r>
        <w:lastRenderedPageBreak/>
        <w:t>Growth</w:t>
      </w:r>
      <w:r w:rsidR="006F78B3">
        <w:t xml:space="preserve"> Measures 2a and 2b</w:t>
      </w:r>
      <w:r w:rsidR="004445BB" w:rsidRPr="009B3E6A">
        <w:t xml:space="preserve">. </w:t>
      </w:r>
      <w:r w:rsidR="006F78B3">
        <w:t>Growth Using the NWEA MAP Assessments in Math and Reading</w:t>
      </w:r>
      <w:bookmarkEnd w:id="19"/>
      <w:bookmarkEnd w:id="20"/>
    </w:p>
    <w:p w14:paraId="68ABCC93" w14:textId="77777777" w:rsidR="00A5431A" w:rsidRDefault="005C3ADC" w:rsidP="00A5431A">
      <w:pPr>
        <w:pStyle w:val="BodyText"/>
        <w:ind w:right="126"/>
        <w:rPr>
          <w:u w:color="000000"/>
        </w:rPr>
      </w:pPr>
      <w:r>
        <w:rPr>
          <w:u w:val="single" w:color="000000"/>
        </w:rPr>
        <w:t>Metric</w:t>
      </w:r>
      <w:r w:rsidR="00A5431A">
        <w:rPr>
          <w:u w:val="single" w:color="000000"/>
        </w:rPr>
        <w:t>:</w:t>
      </w:r>
      <w:r w:rsidR="00A5431A">
        <w:rPr>
          <w:u w:color="000000"/>
        </w:rPr>
        <w:t xml:space="preserve"> </w:t>
      </w:r>
      <w:r w:rsidR="006F78B3">
        <w:rPr>
          <w:u w:color="000000"/>
        </w:rPr>
        <w:t>Nearest percentile rank on NWEA MAP growth, based on average RIT growth for each grade level and growth period</w:t>
      </w:r>
    </w:p>
    <w:p w14:paraId="21D408B5" w14:textId="77777777" w:rsidR="005C3ADC" w:rsidRPr="005C3ADC" w:rsidRDefault="005C3ADC" w:rsidP="00A5431A">
      <w:pPr>
        <w:pStyle w:val="BodyText"/>
        <w:ind w:right="126"/>
        <w:rPr>
          <w:u w:color="000000"/>
        </w:rPr>
      </w:pPr>
      <w:r>
        <w:rPr>
          <w:u w:val="single" w:color="000000"/>
        </w:rPr>
        <w:t>Applicable grade levels:</w:t>
      </w:r>
      <w:r w:rsidR="00D072D2">
        <w:rPr>
          <w:u w:color="000000"/>
        </w:rPr>
        <w:t xml:space="preserve"> All grades, all students</w:t>
      </w:r>
    </w:p>
    <w:p w14:paraId="5E5ED168" w14:textId="77777777" w:rsidR="00490792" w:rsidRDefault="00A5431A" w:rsidP="00A5431A">
      <w:pPr>
        <w:pStyle w:val="BodyText"/>
        <w:ind w:right="126"/>
        <w:rPr>
          <w:u w:color="000000"/>
        </w:rPr>
      </w:pPr>
      <w:r>
        <w:rPr>
          <w:u w:val="single" w:color="000000"/>
        </w:rPr>
        <w:t xml:space="preserve">Target Growth: </w:t>
      </w:r>
      <w:r w:rsidR="006F78B3">
        <w:rPr>
          <w:u w:color="000000"/>
        </w:rPr>
        <w:t xml:space="preserve">Each year, </w:t>
      </w:r>
      <w:r w:rsidR="006F78B3" w:rsidRPr="006F78B3">
        <w:rPr>
          <w:u w:color="000000"/>
        </w:rPr>
        <w:t xml:space="preserve">the average NWEA RIT growth in math </w:t>
      </w:r>
      <w:r w:rsidR="006F78B3">
        <w:rPr>
          <w:u w:color="000000"/>
        </w:rPr>
        <w:t xml:space="preserve">and reading (separately) </w:t>
      </w:r>
      <w:r w:rsidR="006F78B3" w:rsidRPr="006F78B3">
        <w:rPr>
          <w:u w:color="000000"/>
        </w:rPr>
        <w:t>will meet or exceed the 50th percentile for each grade level and growth period, compared to the NWEA Alternative School Rank Percentile Distributions</w:t>
      </w:r>
    </w:p>
    <w:p w14:paraId="769471D2" w14:textId="77777777" w:rsidR="00946AF1" w:rsidRPr="00FE763A" w:rsidRDefault="00807D02" w:rsidP="002929F9">
      <w:pPr>
        <w:pStyle w:val="BodyText"/>
        <w:ind w:right="126"/>
        <w:rPr>
          <w:i/>
          <w:u w:color="000000"/>
        </w:rPr>
      </w:pPr>
      <w:r>
        <w:rPr>
          <w:u w:val="single" w:color="000000"/>
        </w:rPr>
        <w:t xml:space="preserve">Computation </w:t>
      </w:r>
      <w:r w:rsidR="00C2731E">
        <w:rPr>
          <w:u w:val="single" w:color="000000"/>
        </w:rPr>
        <w:t>Method:</w:t>
      </w:r>
      <w:r w:rsidR="00C2731E">
        <w:rPr>
          <w:u w:color="000000"/>
        </w:rPr>
        <w:t xml:space="preserve"> For a full description of how to compute the average RIT growth using NWEA MAP assessments and determine the corresponding percentile ranks for each grade and growth period, please review Momentum’s </w:t>
      </w:r>
      <w:r w:rsidR="00C2731E" w:rsidRPr="002929F9">
        <w:rPr>
          <w:i/>
          <w:u w:color="000000"/>
        </w:rPr>
        <w:t>Alternative Accountability User’s Guide: NWEA School Rank Percentile Distributions.</w:t>
      </w:r>
    </w:p>
    <w:p w14:paraId="37DF8CD6" w14:textId="77777777" w:rsidR="00C2731E" w:rsidRPr="00C2731E" w:rsidRDefault="00E0494E" w:rsidP="00C2731E">
      <w:pPr>
        <w:pStyle w:val="Heading2"/>
        <w:rPr>
          <w:rFonts w:eastAsia="Calibri"/>
        </w:rPr>
      </w:pPr>
      <w:bookmarkStart w:id="21" w:name="_Toc474843243"/>
      <w:bookmarkStart w:id="22" w:name="_Toc474940141"/>
      <w:r>
        <w:rPr>
          <w:rFonts w:eastAsia="Calibri"/>
        </w:rPr>
        <w:t>Student inclusion rules</w:t>
      </w:r>
      <w:bookmarkEnd w:id="21"/>
      <w:bookmarkEnd w:id="22"/>
    </w:p>
    <w:p w14:paraId="162AB7D9" w14:textId="77777777" w:rsidR="00C55A6E" w:rsidRDefault="00C55A6E" w:rsidP="00C55A6E">
      <w:pPr>
        <w:pStyle w:val="ListParagraph"/>
        <w:numPr>
          <w:ilvl w:val="0"/>
          <w:numId w:val="9"/>
        </w:numPr>
        <w:rPr>
          <w:rFonts w:ascii="Calibri" w:eastAsia="Calibri" w:hAnsi="Calibri" w:cs="Calibri"/>
          <w:sz w:val="22"/>
          <w:szCs w:val="22"/>
        </w:rPr>
      </w:pPr>
      <w:r>
        <w:rPr>
          <w:rFonts w:ascii="Calibri" w:eastAsia="Calibri" w:hAnsi="Calibri" w:cs="Calibri"/>
          <w:sz w:val="22"/>
          <w:szCs w:val="22"/>
        </w:rPr>
        <w:t>All valid assessment results should be used. If the proctor has reason to suspect that the student “clicked through” the test, they need to signal the test as invalid to NWEA immediately and the student should take the test again at a later date. Reasons for invalidating tests are listed in the NWEA Proctor Handbook.</w:t>
      </w:r>
    </w:p>
    <w:p w14:paraId="7FDBCBF5" w14:textId="77777777" w:rsidR="004F2F4A" w:rsidRPr="000939F2" w:rsidRDefault="004F2F4A" w:rsidP="004F2F4A">
      <w:pPr>
        <w:pStyle w:val="ListParagraph"/>
        <w:numPr>
          <w:ilvl w:val="0"/>
          <w:numId w:val="9"/>
        </w:numPr>
        <w:rPr>
          <w:rFonts w:ascii="Calibri" w:eastAsia="Calibri" w:hAnsi="Calibri" w:cs="Calibri"/>
          <w:sz w:val="22"/>
          <w:szCs w:val="22"/>
        </w:rPr>
      </w:pPr>
      <w:r w:rsidRPr="000939F2">
        <w:rPr>
          <w:rFonts w:ascii="Calibri" w:eastAsia="Calibri" w:hAnsi="Calibri" w:cs="Calibri"/>
          <w:sz w:val="22"/>
          <w:szCs w:val="22"/>
        </w:rPr>
        <w:t>If a student enrolls after the fall assessment window, their winter and spring assessment</w:t>
      </w:r>
      <w:r w:rsidR="00C2731E">
        <w:rPr>
          <w:rFonts w:ascii="Calibri" w:eastAsia="Calibri" w:hAnsi="Calibri" w:cs="Calibri"/>
          <w:sz w:val="22"/>
          <w:szCs w:val="22"/>
        </w:rPr>
        <w:t>s should be used and the student’s growth included in the calculation of average growth for that time period.</w:t>
      </w:r>
    </w:p>
    <w:p w14:paraId="2E2C64D3" w14:textId="77777777" w:rsidR="00C2731E" w:rsidRPr="003839FB" w:rsidRDefault="004F2F4A" w:rsidP="00C2731E">
      <w:pPr>
        <w:pStyle w:val="ListParagraph"/>
        <w:numPr>
          <w:ilvl w:val="0"/>
          <w:numId w:val="9"/>
        </w:numPr>
        <w:rPr>
          <w:rFonts w:ascii="Calibri" w:eastAsia="Calibri" w:hAnsi="Calibri" w:cs="Calibri"/>
          <w:sz w:val="22"/>
          <w:szCs w:val="22"/>
        </w:rPr>
      </w:pPr>
      <w:r w:rsidRPr="000939F2">
        <w:rPr>
          <w:rFonts w:ascii="Calibri" w:eastAsia="Calibri" w:hAnsi="Calibri" w:cs="Calibri"/>
          <w:sz w:val="22"/>
          <w:szCs w:val="22"/>
        </w:rPr>
        <w:t>If a student leaves the school prior to the spring assessment window, but has f</w:t>
      </w:r>
      <w:r w:rsidR="0012753F">
        <w:rPr>
          <w:rFonts w:ascii="Calibri" w:eastAsia="Calibri" w:hAnsi="Calibri" w:cs="Calibri"/>
          <w:sz w:val="22"/>
          <w:szCs w:val="22"/>
        </w:rPr>
        <w:t>all and winter test results, the</w:t>
      </w:r>
      <w:r w:rsidRPr="000939F2">
        <w:rPr>
          <w:rFonts w:ascii="Calibri" w:eastAsia="Calibri" w:hAnsi="Calibri" w:cs="Calibri"/>
          <w:sz w:val="22"/>
          <w:szCs w:val="22"/>
        </w:rPr>
        <w:t xml:space="preserve">n those results are used </w:t>
      </w:r>
      <w:r w:rsidR="00C2731E">
        <w:rPr>
          <w:rFonts w:ascii="Calibri" w:eastAsia="Calibri" w:hAnsi="Calibri" w:cs="Calibri"/>
          <w:sz w:val="22"/>
          <w:szCs w:val="22"/>
        </w:rPr>
        <w:t>and the student’s growth included in the calculation of average growth for that time period.</w:t>
      </w:r>
    </w:p>
    <w:p w14:paraId="7824BF00" w14:textId="77777777" w:rsidR="00E0494E" w:rsidRDefault="00E0494E" w:rsidP="00E0494E">
      <w:pPr>
        <w:pStyle w:val="Heading2"/>
        <w:rPr>
          <w:rFonts w:cs="Calibri"/>
          <w:b/>
          <w:bCs/>
        </w:rPr>
      </w:pPr>
      <w:bookmarkStart w:id="23" w:name="_Toc474843244"/>
      <w:bookmarkStart w:id="24" w:name="_Toc474940142"/>
      <w:r>
        <w:t>Exemptions</w:t>
      </w:r>
      <w:bookmarkEnd w:id="23"/>
      <w:bookmarkEnd w:id="24"/>
    </w:p>
    <w:p w14:paraId="34C066BA" w14:textId="77777777" w:rsidR="0012753F" w:rsidRPr="0012753F" w:rsidRDefault="0012753F" w:rsidP="0012753F">
      <w:pPr>
        <w:pStyle w:val="ListParagraph"/>
        <w:numPr>
          <w:ilvl w:val="0"/>
          <w:numId w:val="4"/>
        </w:numPr>
        <w:tabs>
          <w:tab w:val="left" w:pos="841"/>
        </w:tabs>
        <w:spacing w:line="279" w:lineRule="exact"/>
        <w:ind w:right="126"/>
        <w:rPr>
          <w:rFonts w:ascii="Calibri" w:eastAsia="Calibri" w:hAnsi="Calibri" w:cs="Calibri"/>
        </w:rPr>
      </w:pPr>
      <w:r>
        <w:rPr>
          <w:rFonts w:ascii="Calibri"/>
          <w:sz w:val="22"/>
        </w:rPr>
        <w:t>Students enrolled at the school for fewer than 91 consecutive days</w:t>
      </w:r>
    </w:p>
    <w:p w14:paraId="5431ADA2" w14:textId="77777777" w:rsidR="0012753F" w:rsidRPr="0012753F" w:rsidRDefault="0012753F" w:rsidP="0012753F">
      <w:pPr>
        <w:pStyle w:val="ListParagraph"/>
        <w:numPr>
          <w:ilvl w:val="0"/>
          <w:numId w:val="4"/>
        </w:numPr>
        <w:tabs>
          <w:tab w:val="left" w:pos="841"/>
        </w:tabs>
        <w:spacing w:line="279" w:lineRule="exact"/>
        <w:ind w:right="126"/>
        <w:rPr>
          <w:rFonts w:ascii="Calibri" w:eastAsia="Calibri" w:hAnsi="Calibri" w:cs="Calibri"/>
        </w:rPr>
      </w:pPr>
      <w:r>
        <w:rPr>
          <w:rFonts w:ascii="Calibri"/>
          <w:sz w:val="22"/>
        </w:rPr>
        <w:t>Students receiving “did not test” codes for either the pre- or post-test, because they were not enrolled or were absent throughout one of the testing window</w:t>
      </w:r>
    </w:p>
    <w:p w14:paraId="10DF054F" w14:textId="77777777" w:rsidR="0012753F" w:rsidRPr="002E5F98" w:rsidRDefault="0012753F" w:rsidP="0012753F">
      <w:pPr>
        <w:pStyle w:val="ListParagraph"/>
        <w:numPr>
          <w:ilvl w:val="0"/>
          <w:numId w:val="4"/>
        </w:numPr>
        <w:tabs>
          <w:tab w:val="left" w:pos="841"/>
        </w:tabs>
        <w:spacing w:line="279" w:lineRule="exact"/>
        <w:ind w:right="126"/>
        <w:rPr>
          <w:rFonts w:ascii="Calibri" w:eastAsia="Calibri" w:hAnsi="Calibri" w:cs="Calibri"/>
        </w:rPr>
      </w:pPr>
      <w:r>
        <w:rPr>
          <w:rFonts w:ascii="Calibri"/>
          <w:sz w:val="22"/>
        </w:rPr>
        <w:t>Students with invalidated pre- or post-test scores, by vendor or due to test irregularities</w:t>
      </w:r>
    </w:p>
    <w:p w14:paraId="56DB58ED" w14:textId="77777777" w:rsidR="002E5F98" w:rsidRDefault="002E5F98" w:rsidP="002E5F98">
      <w:pPr>
        <w:tabs>
          <w:tab w:val="left" w:pos="841"/>
        </w:tabs>
        <w:spacing w:line="279" w:lineRule="exact"/>
        <w:ind w:right="126"/>
        <w:rPr>
          <w:rFonts w:ascii="Calibri" w:eastAsia="Calibri" w:hAnsi="Calibri" w:cs="Calibri"/>
        </w:rPr>
      </w:pPr>
    </w:p>
    <w:p w14:paraId="37EF62E6" w14:textId="77777777" w:rsidR="002E5F98" w:rsidRDefault="002E5F98" w:rsidP="002E5F98">
      <w:pPr>
        <w:tabs>
          <w:tab w:val="left" w:pos="841"/>
        </w:tabs>
        <w:spacing w:line="279" w:lineRule="exact"/>
        <w:ind w:right="126"/>
        <w:rPr>
          <w:rFonts w:ascii="Calibri" w:eastAsia="Calibri" w:hAnsi="Calibri" w:cs="Calibri"/>
        </w:rPr>
      </w:pPr>
    </w:p>
    <w:p w14:paraId="75B1F37C" w14:textId="77777777" w:rsidR="002E5F98" w:rsidRDefault="002E5F98" w:rsidP="002E5F98">
      <w:pPr>
        <w:tabs>
          <w:tab w:val="left" w:pos="841"/>
        </w:tabs>
        <w:spacing w:line="279" w:lineRule="exact"/>
        <w:ind w:right="126"/>
        <w:rPr>
          <w:rFonts w:ascii="Calibri" w:eastAsia="Calibri" w:hAnsi="Calibri" w:cs="Calibri"/>
        </w:rPr>
      </w:pPr>
    </w:p>
    <w:p w14:paraId="46D6C565" w14:textId="77777777" w:rsidR="002E5F98" w:rsidRDefault="002E5F98" w:rsidP="002E5F98">
      <w:pPr>
        <w:tabs>
          <w:tab w:val="left" w:pos="841"/>
        </w:tabs>
        <w:spacing w:line="279" w:lineRule="exact"/>
        <w:ind w:right="126"/>
        <w:rPr>
          <w:rFonts w:ascii="Calibri" w:eastAsia="Calibri" w:hAnsi="Calibri" w:cs="Calibri"/>
        </w:rPr>
      </w:pPr>
    </w:p>
    <w:p w14:paraId="385F9C84" w14:textId="77777777" w:rsidR="002E5F98" w:rsidRPr="002E5F98" w:rsidRDefault="002E5F98" w:rsidP="002E5F98">
      <w:pPr>
        <w:tabs>
          <w:tab w:val="left" w:pos="841"/>
        </w:tabs>
        <w:spacing w:line="279" w:lineRule="exact"/>
        <w:ind w:right="126"/>
        <w:rPr>
          <w:rFonts w:ascii="Calibri" w:eastAsia="Calibri" w:hAnsi="Calibri" w:cs="Calibri"/>
        </w:rPr>
      </w:pPr>
    </w:p>
    <w:p w14:paraId="47045236" w14:textId="77777777" w:rsidR="00807D02" w:rsidRDefault="00807D02" w:rsidP="00807D02">
      <w:pPr>
        <w:pStyle w:val="Heading2"/>
        <w:rPr>
          <w:rFonts w:eastAsia="Calibri"/>
        </w:rPr>
      </w:pPr>
      <w:bookmarkStart w:id="25" w:name="_Toc474843245"/>
      <w:bookmarkStart w:id="26" w:name="_Toc474940143"/>
      <w:r>
        <w:rPr>
          <w:rFonts w:eastAsia="Calibri"/>
        </w:rPr>
        <w:lastRenderedPageBreak/>
        <w:t>Summarizing the Results</w:t>
      </w:r>
      <w:bookmarkEnd w:id="25"/>
      <w:bookmarkEnd w:id="26"/>
    </w:p>
    <w:p w14:paraId="0BD2CECB" w14:textId="77777777" w:rsidR="003839FB" w:rsidRPr="000A0FA4" w:rsidRDefault="000A0FA4" w:rsidP="003839FB">
      <w:pPr>
        <w:rPr>
          <w:sz w:val="22"/>
          <w:szCs w:val="22"/>
        </w:rPr>
      </w:pPr>
      <w:r w:rsidRPr="003839FB">
        <w:rPr>
          <w:sz w:val="22"/>
          <w:szCs w:val="22"/>
        </w:rPr>
        <w:t xml:space="preserve">Similar to the method outlined in </w:t>
      </w:r>
      <w:r>
        <w:rPr>
          <w:sz w:val="22"/>
          <w:szCs w:val="22"/>
        </w:rPr>
        <w:t>the NWEA end of year outcomes, we provide below our recommendation for summarizing the NWEA growth measures. (See table below).</w:t>
      </w:r>
    </w:p>
    <w:tbl>
      <w:tblPr>
        <w:tblStyle w:val="GridTable4-Accent11"/>
        <w:tblW w:w="0" w:type="auto"/>
        <w:tblLook w:val="04A0" w:firstRow="1" w:lastRow="0" w:firstColumn="1" w:lastColumn="0" w:noHBand="0" w:noVBand="1"/>
      </w:tblPr>
      <w:tblGrid>
        <w:gridCol w:w="1075"/>
        <w:gridCol w:w="1890"/>
        <w:gridCol w:w="2217"/>
        <w:gridCol w:w="1696"/>
        <w:gridCol w:w="1346"/>
        <w:gridCol w:w="1346"/>
      </w:tblGrid>
      <w:tr w:rsidR="008F5F06" w:rsidRPr="007B3A8A" w14:paraId="04162134" w14:textId="77777777" w:rsidTr="00D436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6"/>
          </w:tcPr>
          <w:p w14:paraId="3153E7D0" w14:textId="77777777" w:rsidR="008F5F06" w:rsidRPr="007B3A8A" w:rsidRDefault="008F5F06" w:rsidP="0024336C">
            <w:pPr>
              <w:jc w:val="center"/>
              <w:rPr>
                <w:b w:val="0"/>
              </w:rPr>
            </w:pPr>
            <w:r w:rsidRPr="007B3A8A">
              <w:rPr>
                <w:b w:val="0"/>
              </w:rPr>
              <w:t xml:space="preserve">Example Method of Summarizing NWEA RIT Growth Outcomes Compared to </w:t>
            </w:r>
          </w:p>
          <w:p w14:paraId="7AF0D486" w14:textId="77777777" w:rsidR="008F5F06" w:rsidRPr="007B3A8A" w:rsidRDefault="008F5F06" w:rsidP="0024336C">
            <w:pPr>
              <w:jc w:val="center"/>
              <w:rPr>
                <w:b w:val="0"/>
              </w:rPr>
            </w:pPr>
            <w:r w:rsidRPr="007B3A8A">
              <w:rPr>
                <w:b w:val="0"/>
              </w:rPr>
              <w:t>NWEA School Percentile Distributions, using Fictional Results in Mathematics</w:t>
            </w:r>
          </w:p>
        </w:tc>
      </w:tr>
      <w:tr w:rsidR="003839FB" w:rsidRPr="007B3A8A" w14:paraId="26665097"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0047991" w14:textId="77777777" w:rsidR="003839FB" w:rsidRPr="007B3A8A" w:rsidRDefault="003839FB" w:rsidP="0024336C">
            <w:pPr>
              <w:jc w:val="center"/>
              <w:rPr>
                <w:b w:val="0"/>
              </w:rPr>
            </w:pPr>
            <w:r w:rsidRPr="007B3A8A">
              <w:rPr>
                <w:b w:val="0"/>
              </w:rPr>
              <w:t>Grade</w:t>
            </w:r>
          </w:p>
        </w:tc>
        <w:tc>
          <w:tcPr>
            <w:tcW w:w="1890" w:type="dxa"/>
          </w:tcPr>
          <w:p w14:paraId="26B899ED" w14:textId="77777777" w:rsidR="003839FB" w:rsidRPr="007B3A8A" w:rsidRDefault="003839FB" w:rsidP="0024336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Assessment Term</w:t>
            </w:r>
          </w:p>
        </w:tc>
        <w:tc>
          <w:tcPr>
            <w:tcW w:w="2217" w:type="dxa"/>
          </w:tcPr>
          <w:p w14:paraId="12F5E24E" w14:textId="77777777" w:rsidR="003839FB" w:rsidRPr="007B3A8A" w:rsidRDefault="003839FB" w:rsidP="0024336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Number of Student w/ Pre- and Post-Test Results</w:t>
            </w:r>
          </w:p>
        </w:tc>
        <w:tc>
          <w:tcPr>
            <w:tcW w:w="1696" w:type="dxa"/>
          </w:tcPr>
          <w:p w14:paraId="7DF78F91" w14:textId="77777777" w:rsidR="003839FB" w:rsidRPr="007B3A8A" w:rsidRDefault="003839FB" w:rsidP="0024336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Average RIT Growth</w:t>
            </w:r>
          </w:p>
        </w:tc>
        <w:tc>
          <w:tcPr>
            <w:tcW w:w="1346" w:type="dxa"/>
          </w:tcPr>
          <w:p w14:paraId="1D4BA796" w14:textId="77777777" w:rsidR="003839FB" w:rsidRPr="007B3A8A" w:rsidRDefault="003839FB" w:rsidP="0024336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Nearest</w:t>
            </w:r>
            <w:r w:rsidR="005C560D" w:rsidRPr="007B3A8A">
              <w:rPr>
                <w:b/>
                <w:vertAlign w:val="superscript"/>
              </w:rPr>
              <w:t>a</w:t>
            </w:r>
            <w:r w:rsidRPr="007B3A8A">
              <w:rPr>
                <w:b/>
              </w:rPr>
              <w:t xml:space="preserve"> </w:t>
            </w:r>
            <w:r w:rsidR="005C560D" w:rsidRPr="007B3A8A">
              <w:rPr>
                <w:b/>
              </w:rPr>
              <w:t>Growth Value in Percentile Rank Chart</w:t>
            </w:r>
          </w:p>
        </w:tc>
        <w:tc>
          <w:tcPr>
            <w:tcW w:w="1346" w:type="dxa"/>
          </w:tcPr>
          <w:p w14:paraId="7A68ED58" w14:textId="77777777" w:rsidR="003839FB" w:rsidRPr="007B3A8A" w:rsidRDefault="003C2DFC" w:rsidP="0024336C">
            <w:pPr>
              <w:jc w:val="center"/>
              <w:cnfStyle w:val="000000100000" w:firstRow="0" w:lastRow="0" w:firstColumn="0" w:lastColumn="0" w:oddVBand="0" w:evenVBand="0" w:oddHBand="1" w:evenHBand="0" w:firstRowFirstColumn="0" w:firstRowLastColumn="0" w:lastRowFirstColumn="0" w:lastRowLastColumn="0"/>
              <w:rPr>
                <w:b/>
              </w:rPr>
            </w:pPr>
            <w:r w:rsidRPr="007B3A8A">
              <w:rPr>
                <w:b/>
              </w:rPr>
              <w:t>Nearest Rank Decile</w:t>
            </w:r>
          </w:p>
        </w:tc>
      </w:tr>
      <w:tr w:rsidR="003839FB" w:rsidRPr="007B3A8A" w14:paraId="33949A16"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3E2E8201" w14:textId="77777777" w:rsidR="003839FB" w:rsidRPr="007B3A8A" w:rsidRDefault="003839FB" w:rsidP="0024336C">
            <w:pPr>
              <w:jc w:val="center"/>
            </w:pPr>
            <w:r w:rsidRPr="007B3A8A">
              <w:t>9</w:t>
            </w:r>
          </w:p>
        </w:tc>
        <w:tc>
          <w:tcPr>
            <w:tcW w:w="1890" w:type="dxa"/>
          </w:tcPr>
          <w:p w14:paraId="193E2F57" w14:textId="77777777" w:rsidR="003839FB" w:rsidRPr="007B3A8A" w:rsidRDefault="003839FB" w:rsidP="0024336C">
            <w:pPr>
              <w:jc w:val="center"/>
              <w:cnfStyle w:val="000000000000" w:firstRow="0" w:lastRow="0" w:firstColumn="0" w:lastColumn="0" w:oddVBand="0" w:evenVBand="0" w:oddHBand="0" w:evenHBand="0" w:firstRowFirstColumn="0" w:firstRowLastColumn="0" w:lastRowFirstColumn="0" w:lastRowLastColumn="0"/>
            </w:pPr>
            <w:r w:rsidRPr="007B3A8A">
              <w:t>Fall-Winter</w:t>
            </w:r>
          </w:p>
        </w:tc>
        <w:tc>
          <w:tcPr>
            <w:tcW w:w="2217" w:type="dxa"/>
          </w:tcPr>
          <w:p w14:paraId="01AAE152" w14:textId="77777777" w:rsidR="003839FB" w:rsidRPr="007B3A8A" w:rsidRDefault="008F5F06" w:rsidP="0024336C">
            <w:pPr>
              <w:jc w:val="center"/>
              <w:cnfStyle w:val="000000000000" w:firstRow="0" w:lastRow="0" w:firstColumn="0" w:lastColumn="0" w:oddVBand="0" w:evenVBand="0" w:oddHBand="0" w:evenHBand="0" w:firstRowFirstColumn="0" w:firstRowLastColumn="0" w:lastRowFirstColumn="0" w:lastRowLastColumn="0"/>
            </w:pPr>
            <w:r w:rsidRPr="007B3A8A">
              <w:t>32</w:t>
            </w:r>
          </w:p>
        </w:tc>
        <w:tc>
          <w:tcPr>
            <w:tcW w:w="1696" w:type="dxa"/>
          </w:tcPr>
          <w:p w14:paraId="1392A98F" w14:textId="77777777" w:rsidR="003839FB" w:rsidRPr="007B3A8A" w:rsidRDefault="003440D4" w:rsidP="0024336C">
            <w:pPr>
              <w:jc w:val="center"/>
              <w:cnfStyle w:val="000000000000" w:firstRow="0" w:lastRow="0" w:firstColumn="0" w:lastColumn="0" w:oddVBand="0" w:evenVBand="0" w:oddHBand="0" w:evenHBand="0" w:firstRowFirstColumn="0" w:firstRowLastColumn="0" w:lastRowFirstColumn="0" w:lastRowLastColumn="0"/>
            </w:pPr>
            <w:r w:rsidRPr="007B3A8A">
              <w:t>1.08</w:t>
            </w:r>
          </w:p>
        </w:tc>
        <w:tc>
          <w:tcPr>
            <w:tcW w:w="1346" w:type="dxa"/>
          </w:tcPr>
          <w:p w14:paraId="7C7F9137" w14:textId="77777777" w:rsidR="003839FB" w:rsidRPr="007B3A8A" w:rsidRDefault="003440D4" w:rsidP="0024336C">
            <w:pPr>
              <w:jc w:val="center"/>
              <w:cnfStyle w:val="000000000000" w:firstRow="0" w:lastRow="0" w:firstColumn="0" w:lastColumn="0" w:oddVBand="0" w:evenVBand="0" w:oddHBand="0" w:evenHBand="0" w:firstRowFirstColumn="0" w:firstRowLastColumn="0" w:lastRowFirstColumn="0" w:lastRowLastColumn="0"/>
            </w:pPr>
            <w:r w:rsidRPr="007B3A8A">
              <w:t>0.93</w:t>
            </w:r>
          </w:p>
        </w:tc>
        <w:tc>
          <w:tcPr>
            <w:tcW w:w="1346" w:type="dxa"/>
          </w:tcPr>
          <w:p w14:paraId="44F2D9A6" w14:textId="77777777" w:rsidR="003839FB" w:rsidRPr="007B3A8A" w:rsidRDefault="008F5F06" w:rsidP="0024336C">
            <w:pPr>
              <w:jc w:val="center"/>
              <w:cnfStyle w:val="000000000000" w:firstRow="0" w:lastRow="0" w:firstColumn="0" w:lastColumn="0" w:oddVBand="0" w:evenVBand="0" w:oddHBand="0" w:evenHBand="0" w:firstRowFirstColumn="0" w:firstRowLastColumn="0" w:lastRowFirstColumn="0" w:lastRowLastColumn="0"/>
            </w:pPr>
            <w:r w:rsidRPr="007B3A8A">
              <w:t>40</w:t>
            </w:r>
            <w:r w:rsidRPr="007B3A8A">
              <w:rPr>
                <w:vertAlign w:val="superscript"/>
              </w:rPr>
              <w:t>th</w:t>
            </w:r>
          </w:p>
        </w:tc>
      </w:tr>
      <w:tr w:rsidR="003839FB" w:rsidRPr="007B3A8A" w14:paraId="440D61D5"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6E7FD3B" w14:textId="77777777" w:rsidR="003839FB" w:rsidRPr="007B3A8A" w:rsidRDefault="003839FB" w:rsidP="0024336C">
            <w:pPr>
              <w:jc w:val="center"/>
            </w:pPr>
            <w:r w:rsidRPr="007B3A8A">
              <w:t>9</w:t>
            </w:r>
          </w:p>
        </w:tc>
        <w:tc>
          <w:tcPr>
            <w:tcW w:w="1890" w:type="dxa"/>
          </w:tcPr>
          <w:p w14:paraId="6CEAA5F6" w14:textId="77777777" w:rsidR="003839FB" w:rsidRPr="007B3A8A" w:rsidRDefault="003839FB" w:rsidP="0024336C">
            <w:pPr>
              <w:jc w:val="center"/>
              <w:cnfStyle w:val="000000100000" w:firstRow="0" w:lastRow="0" w:firstColumn="0" w:lastColumn="0" w:oddVBand="0" w:evenVBand="0" w:oddHBand="1" w:evenHBand="0" w:firstRowFirstColumn="0" w:firstRowLastColumn="0" w:lastRowFirstColumn="0" w:lastRowLastColumn="0"/>
            </w:pPr>
            <w:r w:rsidRPr="007B3A8A">
              <w:t>Winter-Spring</w:t>
            </w:r>
          </w:p>
        </w:tc>
        <w:tc>
          <w:tcPr>
            <w:tcW w:w="2217" w:type="dxa"/>
          </w:tcPr>
          <w:p w14:paraId="00EDACEE" w14:textId="77777777" w:rsidR="003839FB" w:rsidRPr="007B3A8A" w:rsidRDefault="008F5F06" w:rsidP="0024336C">
            <w:pPr>
              <w:jc w:val="center"/>
              <w:cnfStyle w:val="000000100000" w:firstRow="0" w:lastRow="0" w:firstColumn="0" w:lastColumn="0" w:oddVBand="0" w:evenVBand="0" w:oddHBand="1" w:evenHBand="0" w:firstRowFirstColumn="0" w:firstRowLastColumn="0" w:lastRowFirstColumn="0" w:lastRowLastColumn="0"/>
            </w:pPr>
            <w:r w:rsidRPr="007B3A8A">
              <w:t>15</w:t>
            </w:r>
          </w:p>
        </w:tc>
        <w:tc>
          <w:tcPr>
            <w:tcW w:w="1696" w:type="dxa"/>
          </w:tcPr>
          <w:p w14:paraId="390FE2EE" w14:textId="77777777" w:rsidR="003839FB" w:rsidRPr="007B3A8A" w:rsidRDefault="003440D4" w:rsidP="0024336C">
            <w:pPr>
              <w:jc w:val="center"/>
              <w:cnfStyle w:val="000000100000" w:firstRow="0" w:lastRow="0" w:firstColumn="0" w:lastColumn="0" w:oddVBand="0" w:evenVBand="0" w:oddHBand="1" w:evenHBand="0" w:firstRowFirstColumn="0" w:firstRowLastColumn="0" w:lastRowFirstColumn="0" w:lastRowLastColumn="0"/>
            </w:pPr>
            <w:r w:rsidRPr="007B3A8A">
              <w:t>-2.15</w:t>
            </w:r>
          </w:p>
        </w:tc>
        <w:tc>
          <w:tcPr>
            <w:tcW w:w="1346" w:type="dxa"/>
          </w:tcPr>
          <w:p w14:paraId="31818E58" w14:textId="77777777" w:rsidR="003839FB" w:rsidRPr="007B3A8A" w:rsidRDefault="003440D4" w:rsidP="0024336C">
            <w:pPr>
              <w:jc w:val="center"/>
              <w:cnfStyle w:val="000000100000" w:firstRow="0" w:lastRow="0" w:firstColumn="0" w:lastColumn="0" w:oddVBand="0" w:evenVBand="0" w:oddHBand="1" w:evenHBand="0" w:firstRowFirstColumn="0" w:firstRowLastColumn="0" w:lastRowFirstColumn="0" w:lastRowLastColumn="0"/>
            </w:pPr>
            <w:r w:rsidRPr="007B3A8A">
              <w:t>-2.59</w:t>
            </w:r>
          </w:p>
        </w:tc>
        <w:tc>
          <w:tcPr>
            <w:tcW w:w="1346" w:type="dxa"/>
          </w:tcPr>
          <w:p w14:paraId="523E88A7" w14:textId="77777777" w:rsidR="003839FB" w:rsidRPr="007B3A8A" w:rsidRDefault="008F5F06" w:rsidP="0024336C">
            <w:pPr>
              <w:jc w:val="center"/>
              <w:cnfStyle w:val="000000100000" w:firstRow="0" w:lastRow="0" w:firstColumn="0" w:lastColumn="0" w:oddVBand="0" w:evenVBand="0" w:oddHBand="1" w:evenHBand="0" w:firstRowFirstColumn="0" w:firstRowLastColumn="0" w:lastRowFirstColumn="0" w:lastRowLastColumn="0"/>
            </w:pPr>
            <w:r w:rsidRPr="007B3A8A">
              <w:t>20</w:t>
            </w:r>
            <w:r w:rsidRPr="007B3A8A">
              <w:rPr>
                <w:vertAlign w:val="superscript"/>
              </w:rPr>
              <w:t>th</w:t>
            </w:r>
          </w:p>
        </w:tc>
      </w:tr>
      <w:tr w:rsidR="003839FB" w:rsidRPr="007B3A8A" w14:paraId="36198E15"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506F0930" w14:textId="77777777" w:rsidR="003839FB" w:rsidRPr="007B3A8A" w:rsidRDefault="003839FB" w:rsidP="0024336C">
            <w:pPr>
              <w:jc w:val="center"/>
            </w:pPr>
            <w:r w:rsidRPr="007B3A8A">
              <w:t>9</w:t>
            </w:r>
          </w:p>
        </w:tc>
        <w:tc>
          <w:tcPr>
            <w:tcW w:w="1890" w:type="dxa"/>
          </w:tcPr>
          <w:p w14:paraId="4EC043FD" w14:textId="77777777" w:rsidR="003839FB" w:rsidRPr="007B3A8A" w:rsidRDefault="003839FB" w:rsidP="0024336C">
            <w:pPr>
              <w:jc w:val="center"/>
              <w:cnfStyle w:val="000000000000" w:firstRow="0" w:lastRow="0" w:firstColumn="0" w:lastColumn="0" w:oddVBand="0" w:evenVBand="0" w:oddHBand="0" w:evenHBand="0" w:firstRowFirstColumn="0" w:firstRowLastColumn="0" w:lastRowFirstColumn="0" w:lastRowLastColumn="0"/>
            </w:pPr>
            <w:r w:rsidRPr="007B3A8A">
              <w:t>Fall-Spring</w:t>
            </w:r>
          </w:p>
        </w:tc>
        <w:tc>
          <w:tcPr>
            <w:tcW w:w="2217" w:type="dxa"/>
          </w:tcPr>
          <w:p w14:paraId="40FD1AAD" w14:textId="77777777" w:rsidR="003839FB" w:rsidRPr="007B3A8A" w:rsidRDefault="008F5F06" w:rsidP="0024336C">
            <w:pPr>
              <w:jc w:val="center"/>
              <w:cnfStyle w:val="000000000000" w:firstRow="0" w:lastRow="0" w:firstColumn="0" w:lastColumn="0" w:oddVBand="0" w:evenVBand="0" w:oddHBand="0" w:evenHBand="0" w:firstRowFirstColumn="0" w:firstRowLastColumn="0" w:lastRowFirstColumn="0" w:lastRowLastColumn="0"/>
            </w:pPr>
            <w:r w:rsidRPr="007B3A8A">
              <w:t>50</w:t>
            </w:r>
          </w:p>
        </w:tc>
        <w:tc>
          <w:tcPr>
            <w:tcW w:w="1696" w:type="dxa"/>
          </w:tcPr>
          <w:p w14:paraId="48F5298D" w14:textId="77777777" w:rsidR="003839FB" w:rsidRPr="007B3A8A" w:rsidRDefault="003440D4" w:rsidP="0024336C">
            <w:pPr>
              <w:jc w:val="center"/>
              <w:cnfStyle w:val="000000000000" w:firstRow="0" w:lastRow="0" w:firstColumn="0" w:lastColumn="0" w:oddVBand="0" w:evenVBand="0" w:oddHBand="0" w:evenHBand="0" w:firstRowFirstColumn="0" w:firstRowLastColumn="0" w:lastRowFirstColumn="0" w:lastRowLastColumn="0"/>
            </w:pPr>
            <w:r w:rsidRPr="007B3A8A">
              <w:t>1.33</w:t>
            </w:r>
          </w:p>
        </w:tc>
        <w:tc>
          <w:tcPr>
            <w:tcW w:w="1346" w:type="dxa"/>
          </w:tcPr>
          <w:p w14:paraId="0047E3BD" w14:textId="77777777" w:rsidR="003839FB" w:rsidRPr="007B3A8A" w:rsidRDefault="003440D4" w:rsidP="0024336C">
            <w:pPr>
              <w:jc w:val="center"/>
              <w:cnfStyle w:val="000000000000" w:firstRow="0" w:lastRow="0" w:firstColumn="0" w:lastColumn="0" w:oddVBand="0" w:evenVBand="0" w:oddHBand="0" w:evenHBand="0" w:firstRowFirstColumn="0" w:firstRowLastColumn="0" w:lastRowFirstColumn="0" w:lastRowLastColumn="0"/>
            </w:pPr>
            <w:r w:rsidRPr="007B3A8A">
              <w:t>1.03</w:t>
            </w:r>
          </w:p>
        </w:tc>
        <w:tc>
          <w:tcPr>
            <w:tcW w:w="1346" w:type="dxa"/>
          </w:tcPr>
          <w:p w14:paraId="60F87125" w14:textId="77777777" w:rsidR="003839FB" w:rsidRPr="007B3A8A" w:rsidRDefault="008F5F06" w:rsidP="0024336C">
            <w:pPr>
              <w:jc w:val="center"/>
              <w:cnfStyle w:val="000000000000" w:firstRow="0" w:lastRow="0" w:firstColumn="0" w:lastColumn="0" w:oddVBand="0" w:evenVBand="0" w:oddHBand="0" w:evenHBand="0" w:firstRowFirstColumn="0" w:firstRowLastColumn="0" w:lastRowFirstColumn="0" w:lastRowLastColumn="0"/>
            </w:pPr>
            <w:r w:rsidRPr="007B3A8A">
              <w:t>40</w:t>
            </w:r>
            <w:r w:rsidRPr="007B3A8A">
              <w:rPr>
                <w:vertAlign w:val="superscript"/>
              </w:rPr>
              <w:t>th</w:t>
            </w:r>
          </w:p>
        </w:tc>
      </w:tr>
      <w:tr w:rsidR="005D7C2B" w:rsidRPr="007B3A8A" w14:paraId="67927D70"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D6C843D" w14:textId="77777777" w:rsidR="005D7C2B" w:rsidRPr="007B3A8A" w:rsidRDefault="005D7C2B" w:rsidP="005D7C2B">
            <w:pPr>
              <w:jc w:val="center"/>
            </w:pPr>
            <w:r w:rsidRPr="007B3A8A">
              <w:t>10</w:t>
            </w:r>
          </w:p>
        </w:tc>
        <w:tc>
          <w:tcPr>
            <w:tcW w:w="1890" w:type="dxa"/>
          </w:tcPr>
          <w:p w14:paraId="1719CC03" w14:textId="77777777" w:rsidR="005D7C2B" w:rsidRPr="007B3A8A" w:rsidRDefault="005D7C2B" w:rsidP="005D7C2B">
            <w:pPr>
              <w:jc w:val="center"/>
              <w:cnfStyle w:val="000000100000" w:firstRow="0" w:lastRow="0" w:firstColumn="0" w:lastColumn="0" w:oddVBand="0" w:evenVBand="0" w:oddHBand="1" w:evenHBand="0" w:firstRowFirstColumn="0" w:firstRowLastColumn="0" w:lastRowFirstColumn="0" w:lastRowLastColumn="0"/>
            </w:pPr>
            <w:r w:rsidRPr="007B3A8A">
              <w:t>Fall-Winter</w:t>
            </w:r>
          </w:p>
        </w:tc>
        <w:tc>
          <w:tcPr>
            <w:tcW w:w="2217" w:type="dxa"/>
          </w:tcPr>
          <w:p w14:paraId="53B45D3D"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28</w:t>
            </w:r>
          </w:p>
        </w:tc>
        <w:tc>
          <w:tcPr>
            <w:tcW w:w="1696" w:type="dxa"/>
          </w:tcPr>
          <w:p w14:paraId="4969D84F"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1.60</w:t>
            </w:r>
          </w:p>
        </w:tc>
        <w:tc>
          <w:tcPr>
            <w:tcW w:w="1346" w:type="dxa"/>
          </w:tcPr>
          <w:p w14:paraId="7C9C1ECB"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1.55</w:t>
            </w:r>
          </w:p>
        </w:tc>
        <w:tc>
          <w:tcPr>
            <w:tcW w:w="1346" w:type="dxa"/>
          </w:tcPr>
          <w:p w14:paraId="0C56589F"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50</w:t>
            </w:r>
            <w:r w:rsidRPr="007B3A8A">
              <w:rPr>
                <w:vertAlign w:val="superscript"/>
              </w:rPr>
              <w:t>th</w:t>
            </w:r>
          </w:p>
        </w:tc>
      </w:tr>
      <w:tr w:rsidR="005D7C2B" w:rsidRPr="007B3A8A" w14:paraId="6EE111C6"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79E31BEF" w14:textId="77777777" w:rsidR="005D7C2B" w:rsidRPr="007B3A8A" w:rsidRDefault="005D7C2B" w:rsidP="005D7C2B">
            <w:pPr>
              <w:jc w:val="center"/>
            </w:pPr>
            <w:r w:rsidRPr="007B3A8A">
              <w:t>10</w:t>
            </w:r>
          </w:p>
        </w:tc>
        <w:tc>
          <w:tcPr>
            <w:tcW w:w="1890" w:type="dxa"/>
          </w:tcPr>
          <w:p w14:paraId="18B38F65" w14:textId="77777777" w:rsidR="005D7C2B" w:rsidRPr="007B3A8A" w:rsidRDefault="005D7C2B" w:rsidP="005D7C2B">
            <w:pPr>
              <w:jc w:val="center"/>
              <w:cnfStyle w:val="000000000000" w:firstRow="0" w:lastRow="0" w:firstColumn="0" w:lastColumn="0" w:oddVBand="0" w:evenVBand="0" w:oddHBand="0" w:evenHBand="0" w:firstRowFirstColumn="0" w:firstRowLastColumn="0" w:lastRowFirstColumn="0" w:lastRowLastColumn="0"/>
            </w:pPr>
            <w:r w:rsidRPr="007B3A8A">
              <w:t>Winter-Spring</w:t>
            </w:r>
          </w:p>
        </w:tc>
        <w:tc>
          <w:tcPr>
            <w:tcW w:w="2217" w:type="dxa"/>
          </w:tcPr>
          <w:p w14:paraId="3B90DB00"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12</w:t>
            </w:r>
          </w:p>
        </w:tc>
        <w:tc>
          <w:tcPr>
            <w:tcW w:w="1696" w:type="dxa"/>
          </w:tcPr>
          <w:p w14:paraId="3F2E6984"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-0.04</w:t>
            </w:r>
          </w:p>
        </w:tc>
        <w:tc>
          <w:tcPr>
            <w:tcW w:w="1346" w:type="dxa"/>
          </w:tcPr>
          <w:p w14:paraId="7292B09C"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0.15</w:t>
            </w:r>
          </w:p>
        </w:tc>
        <w:tc>
          <w:tcPr>
            <w:tcW w:w="1346" w:type="dxa"/>
          </w:tcPr>
          <w:p w14:paraId="008E51B4"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50</w:t>
            </w:r>
            <w:r w:rsidRPr="007B3A8A">
              <w:rPr>
                <w:vertAlign w:val="superscript"/>
              </w:rPr>
              <w:t>th</w:t>
            </w:r>
          </w:p>
        </w:tc>
      </w:tr>
      <w:tr w:rsidR="005D7C2B" w:rsidRPr="007B3A8A" w14:paraId="494A1A83"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B73B94A" w14:textId="77777777" w:rsidR="005D7C2B" w:rsidRPr="007B3A8A" w:rsidRDefault="005D7C2B" w:rsidP="005D7C2B">
            <w:pPr>
              <w:jc w:val="center"/>
            </w:pPr>
            <w:r w:rsidRPr="007B3A8A">
              <w:t>10</w:t>
            </w:r>
          </w:p>
        </w:tc>
        <w:tc>
          <w:tcPr>
            <w:tcW w:w="1890" w:type="dxa"/>
          </w:tcPr>
          <w:p w14:paraId="31982187" w14:textId="77777777" w:rsidR="005D7C2B" w:rsidRPr="007B3A8A" w:rsidRDefault="005D7C2B" w:rsidP="005D7C2B">
            <w:pPr>
              <w:jc w:val="center"/>
              <w:cnfStyle w:val="000000100000" w:firstRow="0" w:lastRow="0" w:firstColumn="0" w:lastColumn="0" w:oddVBand="0" w:evenVBand="0" w:oddHBand="1" w:evenHBand="0" w:firstRowFirstColumn="0" w:firstRowLastColumn="0" w:lastRowFirstColumn="0" w:lastRowLastColumn="0"/>
            </w:pPr>
            <w:r w:rsidRPr="007B3A8A">
              <w:t>Fall-Spring</w:t>
            </w:r>
          </w:p>
        </w:tc>
        <w:tc>
          <w:tcPr>
            <w:tcW w:w="2217" w:type="dxa"/>
          </w:tcPr>
          <w:p w14:paraId="344B031F"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44</w:t>
            </w:r>
          </w:p>
        </w:tc>
        <w:tc>
          <w:tcPr>
            <w:tcW w:w="1696" w:type="dxa"/>
          </w:tcPr>
          <w:p w14:paraId="3CC39640"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3.0</w:t>
            </w:r>
          </w:p>
        </w:tc>
        <w:tc>
          <w:tcPr>
            <w:tcW w:w="1346" w:type="dxa"/>
          </w:tcPr>
          <w:p w14:paraId="3667F4DC"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2.87</w:t>
            </w:r>
          </w:p>
        </w:tc>
        <w:tc>
          <w:tcPr>
            <w:tcW w:w="1346" w:type="dxa"/>
          </w:tcPr>
          <w:p w14:paraId="4D296D12"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60</w:t>
            </w:r>
            <w:r w:rsidRPr="007B3A8A">
              <w:rPr>
                <w:vertAlign w:val="superscript"/>
              </w:rPr>
              <w:t>th</w:t>
            </w:r>
          </w:p>
        </w:tc>
      </w:tr>
      <w:tr w:rsidR="005D7C2B" w:rsidRPr="007B3A8A" w14:paraId="777F4B74"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3AE7FEAA" w14:textId="77777777" w:rsidR="005D7C2B" w:rsidRPr="007B3A8A" w:rsidRDefault="005D7C2B" w:rsidP="005D7C2B">
            <w:pPr>
              <w:jc w:val="center"/>
            </w:pPr>
            <w:r w:rsidRPr="007B3A8A">
              <w:t>11</w:t>
            </w:r>
          </w:p>
        </w:tc>
        <w:tc>
          <w:tcPr>
            <w:tcW w:w="1890" w:type="dxa"/>
          </w:tcPr>
          <w:p w14:paraId="712188E3" w14:textId="77777777" w:rsidR="005D7C2B" w:rsidRPr="007B3A8A" w:rsidRDefault="005D7C2B" w:rsidP="005D7C2B">
            <w:pPr>
              <w:jc w:val="center"/>
              <w:cnfStyle w:val="000000000000" w:firstRow="0" w:lastRow="0" w:firstColumn="0" w:lastColumn="0" w:oddVBand="0" w:evenVBand="0" w:oddHBand="0" w:evenHBand="0" w:firstRowFirstColumn="0" w:firstRowLastColumn="0" w:lastRowFirstColumn="0" w:lastRowLastColumn="0"/>
            </w:pPr>
            <w:r w:rsidRPr="007B3A8A">
              <w:t>Fall-Winter</w:t>
            </w:r>
          </w:p>
        </w:tc>
        <w:tc>
          <w:tcPr>
            <w:tcW w:w="2217" w:type="dxa"/>
          </w:tcPr>
          <w:p w14:paraId="2E8D5118"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45</w:t>
            </w:r>
          </w:p>
        </w:tc>
        <w:tc>
          <w:tcPr>
            <w:tcW w:w="1696" w:type="dxa"/>
          </w:tcPr>
          <w:p w14:paraId="7E6CDD75"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2.24</w:t>
            </w:r>
          </w:p>
        </w:tc>
        <w:tc>
          <w:tcPr>
            <w:tcW w:w="1346" w:type="dxa"/>
          </w:tcPr>
          <w:p w14:paraId="3178C63E"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2.32</w:t>
            </w:r>
          </w:p>
        </w:tc>
        <w:tc>
          <w:tcPr>
            <w:tcW w:w="1346" w:type="dxa"/>
          </w:tcPr>
          <w:p w14:paraId="015A125E"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60</w:t>
            </w:r>
            <w:r w:rsidRPr="007B3A8A">
              <w:rPr>
                <w:vertAlign w:val="superscript"/>
              </w:rPr>
              <w:t>th</w:t>
            </w:r>
          </w:p>
        </w:tc>
      </w:tr>
      <w:tr w:rsidR="005D7C2B" w:rsidRPr="007B3A8A" w14:paraId="426E4B69"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97EA0E4" w14:textId="77777777" w:rsidR="005D7C2B" w:rsidRPr="007B3A8A" w:rsidRDefault="005D7C2B" w:rsidP="005D7C2B">
            <w:pPr>
              <w:jc w:val="center"/>
            </w:pPr>
            <w:r w:rsidRPr="007B3A8A">
              <w:t>11</w:t>
            </w:r>
          </w:p>
        </w:tc>
        <w:tc>
          <w:tcPr>
            <w:tcW w:w="1890" w:type="dxa"/>
          </w:tcPr>
          <w:p w14:paraId="39EF4B08" w14:textId="77777777" w:rsidR="005D7C2B" w:rsidRPr="007B3A8A" w:rsidRDefault="005D7C2B" w:rsidP="005D7C2B">
            <w:pPr>
              <w:jc w:val="center"/>
              <w:cnfStyle w:val="000000100000" w:firstRow="0" w:lastRow="0" w:firstColumn="0" w:lastColumn="0" w:oddVBand="0" w:evenVBand="0" w:oddHBand="1" w:evenHBand="0" w:firstRowFirstColumn="0" w:firstRowLastColumn="0" w:lastRowFirstColumn="0" w:lastRowLastColumn="0"/>
            </w:pPr>
            <w:r w:rsidRPr="007B3A8A">
              <w:t>Winter-Spring</w:t>
            </w:r>
          </w:p>
        </w:tc>
        <w:tc>
          <w:tcPr>
            <w:tcW w:w="2217" w:type="dxa"/>
          </w:tcPr>
          <w:p w14:paraId="2C1E4394"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22</w:t>
            </w:r>
          </w:p>
        </w:tc>
        <w:tc>
          <w:tcPr>
            <w:tcW w:w="1696" w:type="dxa"/>
          </w:tcPr>
          <w:p w14:paraId="20135E28"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-1.1</w:t>
            </w:r>
          </w:p>
        </w:tc>
        <w:tc>
          <w:tcPr>
            <w:tcW w:w="1346" w:type="dxa"/>
          </w:tcPr>
          <w:p w14:paraId="220FF2C2"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-1.29</w:t>
            </w:r>
          </w:p>
        </w:tc>
        <w:tc>
          <w:tcPr>
            <w:tcW w:w="1346" w:type="dxa"/>
          </w:tcPr>
          <w:p w14:paraId="58E0C83A"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40</w:t>
            </w:r>
            <w:r w:rsidRPr="007B3A8A">
              <w:rPr>
                <w:vertAlign w:val="superscript"/>
              </w:rPr>
              <w:t>th</w:t>
            </w:r>
          </w:p>
        </w:tc>
      </w:tr>
      <w:tr w:rsidR="005D7C2B" w:rsidRPr="007B3A8A" w14:paraId="7536235F"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1C4FDC08" w14:textId="77777777" w:rsidR="005D7C2B" w:rsidRPr="007B3A8A" w:rsidRDefault="005D7C2B" w:rsidP="005D7C2B">
            <w:pPr>
              <w:jc w:val="center"/>
            </w:pPr>
            <w:r w:rsidRPr="007B3A8A">
              <w:t>11</w:t>
            </w:r>
          </w:p>
        </w:tc>
        <w:tc>
          <w:tcPr>
            <w:tcW w:w="1890" w:type="dxa"/>
          </w:tcPr>
          <w:p w14:paraId="3EB8CD10" w14:textId="77777777" w:rsidR="005D7C2B" w:rsidRPr="007B3A8A" w:rsidRDefault="005D7C2B" w:rsidP="005D7C2B">
            <w:pPr>
              <w:jc w:val="center"/>
              <w:cnfStyle w:val="000000000000" w:firstRow="0" w:lastRow="0" w:firstColumn="0" w:lastColumn="0" w:oddVBand="0" w:evenVBand="0" w:oddHBand="0" w:evenHBand="0" w:firstRowFirstColumn="0" w:firstRowLastColumn="0" w:lastRowFirstColumn="0" w:lastRowLastColumn="0"/>
            </w:pPr>
            <w:r w:rsidRPr="007B3A8A">
              <w:t>Fall-Spring</w:t>
            </w:r>
          </w:p>
        </w:tc>
        <w:tc>
          <w:tcPr>
            <w:tcW w:w="2217" w:type="dxa"/>
          </w:tcPr>
          <w:p w14:paraId="529FB474"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68</w:t>
            </w:r>
          </w:p>
        </w:tc>
        <w:tc>
          <w:tcPr>
            <w:tcW w:w="1696" w:type="dxa"/>
          </w:tcPr>
          <w:p w14:paraId="53DAB795"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3.20</w:t>
            </w:r>
          </w:p>
        </w:tc>
        <w:tc>
          <w:tcPr>
            <w:tcW w:w="1346" w:type="dxa"/>
          </w:tcPr>
          <w:p w14:paraId="08C1A91F"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3.54</w:t>
            </w:r>
          </w:p>
        </w:tc>
        <w:tc>
          <w:tcPr>
            <w:tcW w:w="1346" w:type="dxa"/>
          </w:tcPr>
          <w:p w14:paraId="0881C383"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70</w:t>
            </w:r>
            <w:r w:rsidRPr="007B3A8A">
              <w:rPr>
                <w:vertAlign w:val="superscript"/>
              </w:rPr>
              <w:t>th</w:t>
            </w:r>
          </w:p>
        </w:tc>
      </w:tr>
      <w:tr w:rsidR="005D7C2B" w:rsidRPr="007B3A8A" w14:paraId="7E2D3488"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8F7E8DA" w14:textId="77777777" w:rsidR="005D7C2B" w:rsidRPr="007B3A8A" w:rsidRDefault="005D7C2B" w:rsidP="005D7C2B">
            <w:pPr>
              <w:jc w:val="center"/>
            </w:pPr>
            <w:r w:rsidRPr="007B3A8A">
              <w:t>12</w:t>
            </w:r>
          </w:p>
        </w:tc>
        <w:tc>
          <w:tcPr>
            <w:tcW w:w="1890" w:type="dxa"/>
          </w:tcPr>
          <w:p w14:paraId="19ACB80F" w14:textId="77777777" w:rsidR="005D7C2B" w:rsidRPr="007B3A8A" w:rsidRDefault="005D7C2B" w:rsidP="005D7C2B">
            <w:pPr>
              <w:jc w:val="center"/>
              <w:cnfStyle w:val="000000100000" w:firstRow="0" w:lastRow="0" w:firstColumn="0" w:lastColumn="0" w:oddVBand="0" w:evenVBand="0" w:oddHBand="1" w:evenHBand="0" w:firstRowFirstColumn="0" w:firstRowLastColumn="0" w:lastRowFirstColumn="0" w:lastRowLastColumn="0"/>
            </w:pPr>
            <w:r w:rsidRPr="007B3A8A">
              <w:t>Fall-Winter</w:t>
            </w:r>
          </w:p>
        </w:tc>
        <w:tc>
          <w:tcPr>
            <w:tcW w:w="2217" w:type="dxa"/>
          </w:tcPr>
          <w:p w14:paraId="121DC828"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42</w:t>
            </w:r>
          </w:p>
        </w:tc>
        <w:tc>
          <w:tcPr>
            <w:tcW w:w="1696" w:type="dxa"/>
          </w:tcPr>
          <w:p w14:paraId="1B945C8F"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2.95</w:t>
            </w:r>
          </w:p>
        </w:tc>
        <w:tc>
          <w:tcPr>
            <w:tcW w:w="1346" w:type="dxa"/>
          </w:tcPr>
          <w:p w14:paraId="25AF8C01"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2.31</w:t>
            </w:r>
          </w:p>
        </w:tc>
        <w:tc>
          <w:tcPr>
            <w:tcW w:w="1346" w:type="dxa"/>
          </w:tcPr>
          <w:p w14:paraId="5A9AC2BA"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60</w:t>
            </w:r>
            <w:r w:rsidRPr="007B3A8A">
              <w:rPr>
                <w:vertAlign w:val="superscript"/>
              </w:rPr>
              <w:t>th</w:t>
            </w:r>
          </w:p>
        </w:tc>
      </w:tr>
      <w:tr w:rsidR="005D7C2B" w:rsidRPr="007B3A8A" w14:paraId="5A5430C5" w14:textId="77777777" w:rsidTr="00D4366E">
        <w:tc>
          <w:tcPr>
            <w:cnfStyle w:val="001000000000" w:firstRow="0" w:lastRow="0" w:firstColumn="1" w:lastColumn="0" w:oddVBand="0" w:evenVBand="0" w:oddHBand="0" w:evenHBand="0" w:firstRowFirstColumn="0" w:firstRowLastColumn="0" w:lastRowFirstColumn="0" w:lastRowLastColumn="0"/>
            <w:tcW w:w="1075" w:type="dxa"/>
          </w:tcPr>
          <w:p w14:paraId="274532E1" w14:textId="77777777" w:rsidR="005D7C2B" w:rsidRPr="007B3A8A" w:rsidRDefault="005D7C2B" w:rsidP="005D7C2B">
            <w:pPr>
              <w:jc w:val="center"/>
            </w:pPr>
            <w:r w:rsidRPr="007B3A8A">
              <w:t>12</w:t>
            </w:r>
          </w:p>
        </w:tc>
        <w:tc>
          <w:tcPr>
            <w:tcW w:w="1890" w:type="dxa"/>
          </w:tcPr>
          <w:p w14:paraId="24BDA3C1" w14:textId="77777777" w:rsidR="005D7C2B" w:rsidRPr="007B3A8A" w:rsidRDefault="005D7C2B" w:rsidP="005D7C2B">
            <w:pPr>
              <w:jc w:val="center"/>
              <w:cnfStyle w:val="000000000000" w:firstRow="0" w:lastRow="0" w:firstColumn="0" w:lastColumn="0" w:oddVBand="0" w:evenVBand="0" w:oddHBand="0" w:evenHBand="0" w:firstRowFirstColumn="0" w:firstRowLastColumn="0" w:lastRowFirstColumn="0" w:lastRowLastColumn="0"/>
            </w:pPr>
            <w:r w:rsidRPr="007B3A8A">
              <w:t>Winter-Spring</w:t>
            </w:r>
          </w:p>
        </w:tc>
        <w:tc>
          <w:tcPr>
            <w:tcW w:w="2217" w:type="dxa"/>
          </w:tcPr>
          <w:p w14:paraId="1A3FD791"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30</w:t>
            </w:r>
          </w:p>
        </w:tc>
        <w:tc>
          <w:tcPr>
            <w:tcW w:w="1696" w:type="dxa"/>
          </w:tcPr>
          <w:p w14:paraId="1E3D8ED9"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1.88</w:t>
            </w:r>
          </w:p>
        </w:tc>
        <w:tc>
          <w:tcPr>
            <w:tcW w:w="1346" w:type="dxa"/>
          </w:tcPr>
          <w:p w14:paraId="3A9DE503" w14:textId="77777777" w:rsidR="005D7C2B" w:rsidRPr="007B3A8A" w:rsidRDefault="003440D4" w:rsidP="005D7C2B">
            <w:pPr>
              <w:jc w:val="center"/>
              <w:cnfStyle w:val="000000000000" w:firstRow="0" w:lastRow="0" w:firstColumn="0" w:lastColumn="0" w:oddVBand="0" w:evenVBand="0" w:oddHBand="0" w:evenHBand="0" w:firstRowFirstColumn="0" w:firstRowLastColumn="0" w:lastRowFirstColumn="0" w:lastRowLastColumn="0"/>
            </w:pPr>
            <w:r w:rsidRPr="007B3A8A">
              <w:t>1.63</w:t>
            </w:r>
          </w:p>
        </w:tc>
        <w:tc>
          <w:tcPr>
            <w:tcW w:w="1346" w:type="dxa"/>
          </w:tcPr>
          <w:p w14:paraId="5667772F" w14:textId="77777777" w:rsidR="005D7C2B" w:rsidRPr="007B3A8A" w:rsidRDefault="008F5F06" w:rsidP="005D7C2B">
            <w:pPr>
              <w:jc w:val="center"/>
              <w:cnfStyle w:val="000000000000" w:firstRow="0" w:lastRow="0" w:firstColumn="0" w:lastColumn="0" w:oddVBand="0" w:evenVBand="0" w:oddHBand="0" w:evenHBand="0" w:firstRowFirstColumn="0" w:firstRowLastColumn="0" w:lastRowFirstColumn="0" w:lastRowLastColumn="0"/>
            </w:pPr>
            <w:r w:rsidRPr="007B3A8A">
              <w:t>60</w:t>
            </w:r>
            <w:r w:rsidRPr="007B3A8A">
              <w:rPr>
                <w:vertAlign w:val="superscript"/>
              </w:rPr>
              <w:t>th</w:t>
            </w:r>
          </w:p>
        </w:tc>
      </w:tr>
      <w:tr w:rsidR="005D7C2B" w:rsidRPr="007B3A8A" w14:paraId="0A485FB1" w14:textId="77777777" w:rsidTr="00D436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ADFE894" w14:textId="77777777" w:rsidR="005D7C2B" w:rsidRPr="007B3A8A" w:rsidRDefault="005D7C2B" w:rsidP="005D7C2B">
            <w:pPr>
              <w:jc w:val="center"/>
            </w:pPr>
            <w:r w:rsidRPr="007B3A8A">
              <w:t>12</w:t>
            </w:r>
          </w:p>
        </w:tc>
        <w:tc>
          <w:tcPr>
            <w:tcW w:w="1890" w:type="dxa"/>
          </w:tcPr>
          <w:p w14:paraId="2AEA6F00" w14:textId="77777777" w:rsidR="005D7C2B" w:rsidRPr="007B3A8A" w:rsidRDefault="005D7C2B" w:rsidP="005D7C2B">
            <w:pPr>
              <w:jc w:val="center"/>
              <w:cnfStyle w:val="000000100000" w:firstRow="0" w:lastRow="0" w:firstColumn="0" w:lastColumn="0" w:oddVBand="0" w:evenVBand="0" w:oddHBand="1" w:evenHBand="0" w:firstRowFirstColumn="0" w:firstRowLastColumn="0" w:lastRowFirstColumn="0" w:lastRowLastColumn="0"/>
            </w:pPr>
            <w:r w:rsidRPr="007B3A8A">
              <w:t>Fall-Spring</w:t>
            </w:r>
          </w:p>
        </w:tc>
        <w:tc>
          <w:tcPr>
            <w:tcW w:w="2217" w:type="dxa"/>
          </w:tcPr>
          <w:p w14:paraId="7EB128F0" w14:textId="77777777" w:rsidR="005D7C2B"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65</w:t>
            </w:r>
          </w:p>
        </w:tc>
        <w:tc>
          <w:tcPr>
            <w:tcW w:w="1696" w:type="dxa"/>
          </w:tcPr>
          <w:p w14:paraId="6D7C8C80"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5.78</w:t>
            </w:r>
          </w:p>
        </w:tc>
        <w:tc>
          <w:tcPr>
            <w:tcW w:w="1346" w:type="dxa"/>
          </w:tcPr>
          <w:p w14:paraId="5E26FA84" w14:textId="77777777" w:rsidR="005D7C2B" w:rsidRPr="007B3A8A" w:rsidRDefault="003440D4" w:rsidP="005D7C2B">
            <w:pPr>
              <w:jc w:val="center"/>
              <w:cnfStyle w:val="000000100000" w:firstRow="0" w:lastRow="0" w:firstColumn="0" w:lastColumn="0" w:oddVBand="0" w:evenVBand="0" w:oddHBand="1" w:evenHBand="0" w:firstRowFirstColumn="0" w:firstRowLastColumn="0" w:lastRowFirstColumn="0" w:lastRowLastColumn="0"/>
            </w:pPr>
            <w:r w:rsidRPr="007B3A8A">
              <w:t>6.39</w:t>
            </w:r>
          </w:p>
        </w:tc>
        <w:tc>
          <w:tcPr>
            <w:tcW w:w="1346" w:type="dxa"/>
          </w:tcPr>
          <w:p w14:paraId="18658913" w14:textId="77777777" w:rsidR="003440D4" w:rsidRPr="007B3A8A" w:rsidRDefault="008F5F06" w:rsidP="005D7C2B">
            <w:pPr>
              <w:jc w:val="center"/>
              <w:cnfStyle w:val="000000100000" w:firstRow="0" w:lastRow="0" w:firstColumn="0" w:lastColumn="0" w:oddVBand="0" w:evenVBand="0" w:oddHBand="1" w:evenHBand="0" w:firstRowFirstColumn="0" w:firstRowLastColumn="0" w:lastRowFirstColumn="0" w:lastRowLastColumn="0"/>
            </w:pPr>
            <w:r w:rsidRPr="007B3A8A">
              <w:t>80</w:t>
            </w:r>
            <w:r w:rsidRPr="007B3A8A">
              <w:rPr>
                <w:vertAlign w:val="superscript"/>
              </w:rPr>
              <w:t>th</w:t>
            </w:r>
          </w:p>
        </w:tc>
      </w:tr>
      <w:tr w:rsidR="005D7C2B" w:rsidRPr="007B3A8A" w14:paraId="1E0D713A" w14:textId="77777777" w:rsidTr="00D4366E">
        <w:tc>
          <w:tcPr>
            <w:cnfStyle w:val="001000000000" w:firstRow="0" w:lastRow="0" w:firstColumn="1" w:lastColumn="0" w:oddVBand="0" w:evenVBand="0" w:oddHBand="0" w:evenHBand="0" w:firstRowFirstColumn="0" w:firstRowLastColumn="0" w:lastRowFirstColumn="0" w:lastRowLastColumn="0"/>
            <w:tcW w:w="8224" w:type="dxa"/>
            <w:gridSpan w:val="5"/>
          </w:tcPr>
          <w:p w14:paraId="158BCF36" w14:textId="77777777" w:rsidR="005D7C2B" w:rsidRPr="007B3A8A" w:rsidRDefault="005D7C2B" w:rsidP="005D7C2B">
            <w:pPr>
              <w:jc w:val="right"/>
              <w:rPr>
                <w:b w:val="0"/>
              </w:rPr>
            </w:pPr>
            <w:r w:rsidRPr="007B3A8A">
              <w:rPr>
                <w:b w:val="0"/>
              </w:rPr>
              <w:t>Weighted Average of the Nearest Deciles</w:t>
            </w:r>
          </w:p>
        </w:tc>
        <w:tc>
          <w:tcPr>
            <w:tcW w:w="1346" w:type="dxa"/>
          </w:tcPr>
          <w:p w14:paraId="2F991027" w14:textId="77777777" w:rsidR="005D7C2B" w:rsidRPr="007B3A8A" w:rsidRDefault="00717E32" w:rsidP="005D7C2B">
            <w:pPr>
              <w:jc w:val="center"/>
              <w:cnfStyle w:val="000000000000" w:firstRow="0" w:lastRow="0" w:firstColumn="0" w:lastColumn="0" w:oddVBand="0" w:evenVBand="0" w:oddHBand="0" w:evenHBand="0" w:firstRowFirstColumn="0" w:firstRowLastColumn="0" w:lastRowFirstColumn="0" w:lastRowLastColumn="0"/>
              <w:rPr>
                <w:b/>
              </w:rPr>
            </w:pPr>
            <w:r w:rsidRPr="007B3A8A">
              <w:rPr>
                <w:b/>
              </w:rPr>
              <w:t>58</w:t>
            </w:r>
          </w:p>
        </w:tc>
      </w:tr>
    </w:tbl>
    <w:p w14:paraId="04BD755F" w14:textId="77777777" w:rsidR="003839FB" w:rsidRPr="003839FB" w:rsidRDefault="005C560D" w:rsidP="003839FB">
      <w:r>
        <w:t>a. By nearest growth value in the percentile rank chart, we mean the value with the nearest absolute value, whether higher or lower than the school’s average growth value.</w:t>
      </w:r>
    </w:p>
    <w:p w14:paraId="734C72EF" w14:textId="77777777" w:rsidR="00FE763A" w:rsidRDefault="00717E32" w:rsidP="003839FB">
      <w:pPr>
        <w:rPr>
          <w:sz w:val="22"/>
          <w:szCs w:val="22"/>
        </w:rPr>
      </w:pPr>
      <w:r>
        <w:rPr>
          <w:sz w:val="22"/>
          <w:szCs w:val="22"/>
        </w:rPr>
        <w:t>Also as with the previous example method, we recommend using a weighted average of the nearest rank deciles to arrive at an overall school-wide growth outcome for each of the subject areas.</w:t>
      </w:r>
    </w:p>
    <w:p w14:paraId="56E22838" w14:textId="77777777" w:rsidR="002E5F98" w:rsidRDefault="002E5F98" w:rsidP="003839FB">
      <w:pPr>
        <w:rPr>
          <w:sz w:val="22"/>
          <w:szCs w:val="22"/>
        </w:rPr>
      </w:pPr>
    </w:p>
    <w:p w14:paraId="3D2DCDAD" w14:textId="77777777" w:rsidR="002E5F98" w:rsidRDefault="002E5F98" w:rsidP="003839FB">
      <w:pPr>
        <w:rPr>
          <w:sz w:val="22"/>
          <w:szCs w:val="22"/>
        </w:rPr>
      </w:pPr>
    </w:p>
    <w:p w14:paraId="21383DD1" w14:textId="77777777" w:rsidR="002E5F98" w:rsidRDefault="002E5F98" w:rsidP="003839FB">
      <w:pPr>
        <w:rPr>
          <w:sz w:val="22"/>
          <w:szCs w:val="22"/>
        </w:rPr>
      </w:pPr>
    </w:p>
    <w:p w14:paraId="05A837D9" w14:textId="77777777" w:rsidR="002E5F98" w:rsidRDefault="002E5F98" w:rsidP="003839FB">
      <w:pPr>
        <w:rPr>
          <w:sz w:val="22"/>
          <w:szCs w:val="22"/>
        </w:rPr>
      </w:pPr>
    </w:p>
    <w:p w14:paraId="217326CC" w14:textId="77777777" w:rsidR="002E5F98" w:rsidRDefault="002E5F98" w:rsidP="003839FB">
      <w:pPr>
        <w:rPr>
          <w:sz w:val="22"/>
          <w:szCs w:val="22"/>
        </w:rPr>
      </w:pPr>
    </w:p>
    <w:p w14:paraId="59A424F8" w14:textId="77777777" w:rsidR="002E5F98" w:rsidRPr="003839FB" w:rsidRDefault="002E5F98" w:rsidP="003839FB">
      <w:pPr>
        <w:rPr>
          <w:sz w:val="22"/>
          <w:szCs w:val="22"/>
        </w:rPr>
      </w:pPr>
    </w:p>
    <w:p w14:paraId="092B152A" w14:textId="77777777" w:rsidR="004F2F4A" w:rsidRDefault="0038301E" w:rsidP="004F2F4A">
      <w:pPr>
        <w:pStyle w:val="Heading2"/>
        <w:rPr>
          <w:rFonts w:eastAsia="Calibri"/>
        </w:rPr>
      </w:pPr>
      <w:bookmarkStart w:id="27" w:name="_Toc474843246"/>
      <w:bookmarkStart w:id="28" w:name="_Toc474940144"/>
      <w:r>
        <w:rPr>
          <w:rFonts w:eastAsia="Calibri"/>
        </w:rPr>
        <w:lastRenderedPageBreak/>
        <w:t>Ratings and Targets</w:t>
      </w:r>
      <w:bookmarkEnd w:id="27"/>
      <w:bookmarkEnd w:id="28"/>
    </w:p>
    <w:p w14:paraId="54D7A248" w14:textId="77777777" w:rsidR="002F5F81" w:rsidRDefault="0038301E" w:rsidP="00807D02">
      <w:r>
        <w:t>Below is a table outlining the targets for each possible NWEA RIT growth rating. Again, we recommend rating math and reading separately.</w:t>
      </w:r>
    </w:p>
    <w:tbl>
      <w:tblPr>
        <w:tblStyle w:val="TableGrid"/>
        <w:tblW w:w="5000" w:type="pct"/>
        <w:jc w:val="center"/>
        <w:tblLook w:val="04A0" w:firstRow="1" w:lastRow="0" w:firstColumn="1" w:lastColumn="0" w:noHBand="0" w:noVBand="1"/>
      </w:tblPr>
      <w:tblGrid>
        <w:gridCol w:w="1453"/>
        <w:gridCol w:w="6832"/>
        <w:gridCol w:w="1511"/>
      </w:tblGrid>
      <w:tr w:rsidR="006849D7" w:rsidRPr="00D84E39" w14:paraId="7C81D598" w14:textId="77777777" w:rsidTr="006849D7">
        <w:trPr>
          <w:trHeight w:val="660"/>
          <w:jc w:val="center"/>
        </w:trPr>
        <w:tc>
          <w:tcPr>
            <w:tcW w:w="742" w:type="pct"/>
            <w:hideMark/>
          </w:tcPr>
          <w:p w14:paraId="6F797C92" w14:textId="77777777" w:rsidR="006849D7" w:rsidRPr="00D84E39" w:rsidRDefault="006849D7" w:rsidP="00FE763A">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87" w:type="pct"/>
            <w:vAlign w:val="bottom"/>
            <w:hideMark/>
          </w:tcPr>
          <w:p w14:paraId="22ACD3C5" w14:textId="77777777" w:rsidR="006849D7" w:rsidRPr="00D84E39" w:rsidRDefault="006849D7" w:rsidP="00FE763A">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771" w:type="pct"/>
            <w:vAlign w:val="bottom"/>
          </w:tcPr>
          <w:p w14:paraId="5B44E13D" w14:textId="77777777" w:rsidR="006849D7" w:rsidRDefault="006849D7" w:rsidP="006849D7">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6849D7" w:rsidRPr="00D84E39" w14:paraId="77CC0B94" w14:textId="77777777" w:rsidTr="006849D7">
        <w:trPr>
          <w:trHeight w:val="600"/>
          <w:jc w:val="center"/>
        </w:trPr>
        <w:tc>
          <w:tcPr>
            <w:tcW w:w="742" w:type="pct"/>
            <w:shd w:val="clear" w:color="auto" w:fill="8064A2" w:themeFill="accent4"/>
            <w:noWrap/>
            <w:vAlign w:val="bottom"/>
          </w:tcPr>
          <w:p w14:paraId="1BEC32C4" w14:textId="77777777" w:rsidR="006849D7" w:rsidRPr="001D740C" w:rsidRDefault="006849D7" w:rsidP="006849D7">
            <w:pPr>
              <w:jc w:val="center"/>
              <w:rPr>
                <w:rFonts w:ascii="Calibri" w:eastAsia="Times New Roman" w:hAnsi="Calibri" w:cs="Times New Roman"/>
                <w:b/>
                <w:bCs/>
              </w:rPr>
            </w:pPr>
            <w:r>
              <w:rPr>
                <w:rFonts w:ascii="Calibri" w:eastAsia="Times New Roman" w:hAnsi="Calibri" w:cs="Times New Roman"/>
                <w:b/>
                <w:bCs/>
              </w:rPr>
              <w:t>Exceptional</w:t>
            </w:r>
          </w:p>
        </w:tc>
        <w:tc>
          <w:tcPr>
            <w:tcW w:w="3487" w:type="pct"/>
            <w:vAlign w:val="bottom"/>
          </w:tcPr>
          <w:p w14:paraId="4F643722" w14:textId="77777777" w:rsidR="006849D7"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70 or higher</w:t>
            </w:r>
          </w:p>
        </w:tc>
        <w:tc>
          <w:tcPr>
            <w:tcW w:w="771" w:type="pct"/>
            <w:vAlign w:val="bottom"/>
          </w:tcPr>
          <w:p w14:paraId="52A3FA74"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97.5</w:t>
            </w:r>
          </w:p>
        </w:tc>
      </w:tr>
      <w:tr w:rsidR="006849D7" w:rsidRPr="00D84E39" w14:paraId="54DD9D97" w14:textId="77777777" w:rsidTr="006849D7">
        <w:trPr>
          <w:trHeight w:val="600"/>
          <w:jc w:val="center"/>
        </w:trPr>
        <w:tc>
          <w:tcPr>
            <w:tcW w:w="742" w:type="pct"/>
            <w:shd w:val="clear" w:color="auto" w:fill="0070C0"/>
            <w:noWrap/>
            <w:vAlign w:val="bottom"/>
            <w:hideMark/>
          </w:tcPr>
          <w:p w14:paraId="69E52BFE" w14:textId="77777777" w:rsidR="006849D7" w:rsidRPr="001D740C" w:rsidRDefault="006849D7" w:rsidP="006849D7">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87" w:type="pct"/>
            <w:vAlign w:val="bottom"/>
          </w:tcPr>
          <w:p w14:paraId="17D59999" w14:textId="77777777" w:rsidR="006849D7" w:rsidRPr="00D84E39"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between 60 and 69</w:t>
            </w:r>
          </w:p>
        </w:tc>
        <w:tc>
          <w:tcPr>
            <w:tcW w:w="771" w:type="pct"/>
            <w:vAlign w:val="bottom"/>
          </w:tcPr>
          <w:p w14:paraId="787252C1"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85.0</w:t>
            </w:r>
          </w:p>
        </w:tc>
      </w:tr>
      <w:tr w:rsidR="006849D7" w:rsidRPr="00D84E39" w14:paraId="20476E43" w14:textId="77777777" w:rsidTr="006849D7">
        <w:trPr>
          <w:trHeight w:val="600"/>
          <w:jc w:val="center"/>
        </w:trPr>
        <w:tc>
          <w:tcPr>
            <w:tcW w:w="742" w:type="pct"/>
            <w:shd w:val="clear" w:color="auto" w:fill="9BBB59" w:themeFill="accent3"/>
            <w:noWrap/>
            <w:vAlign w:val="bottom"/>
            <w:hideMark/>
          </w:tcPr>
          <w:p w14:paraId="54F37DD9" w14:textId="77777777" w:rsidR="006849D7" w:rsidRPr="001D740C" w:rsidRDefault="006849D7" w:rsidP="006849D7">
            <w:pPr>
              <w:jc w:val="center"/>
              <w:rPr>
                <w:rFonts w:ascii="Calibri" w:eastAsia="Times New Roman" w:hAnsi="Calibri" w:cs="Times New Roman"/>
                <w:b/>
                <w:bCs/>
              </w:rPr>
            </w:pPr>
            <w:r>
              <w:rPr>
                <w:rFonts w:ascii="Calibri" w:eastAsia="Times New Roman" w:hAnsi="Calibri" w:cs="Times New Roman"/>
                <w:b/>
                <w:bCs/>
              </w:rPr>
              <w:t>Adequate</w:t>
            </w:r>
          </w:p>
        </w:tc>
        <w:tc>
          <w:tcPr>
            <w:tcW w:w="3487" w:type="pct"/>
            <w:vAlign w:val="bottom"/>
          </w:tcPr>
          <w:p w14:paraId="1C2FDF6D" w14:textId="77777777" w:rsidR="006849D7" w:rsidRPr="00D84E39"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between 50 and 59</w:t>
            </w:r>
          </w:p>
        </w:tc>
        <w:tc>
          <w:tcPr>
            <w:tcW w:w="771" w:type="pct"/>
            <w:vAlign w:val="bottom"/>
          </w:tcPr>
          <w:p w14:paraId="739B1A28"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62.5</w:t>
            </w:r>
          </w:p>
        </w:tc>
      </w:tr>
      <w:tr w:rsidR="006849D7" w:rsidRPr="00D84E39" w14:paraId="7A659939" w14:textId="77777777" w:rsidTr="006849D7">
        <w:trPr>
          <w:trHeight w:val="600"/>
          <w:jc w:val="center"/>
        </w:trPr>
        <w:tc>
          <w:tcPr>
            <w:tcW w:w="742" w:type="pct"/>
            <w:shd w:val="clear" w:color="auto" w:fill="FFFF00"/>
            <w:noWrap/>
            <w:vAlign w:val="bottom"/>
          </w:tcPr>
          <w:p w14:paraId="6F5DD262" w14:textId="77777777" w:rsidR="006849D7" w:rsidRDefault="006849D7" w:rsidP="006849D7">
            <w:pPr>
              <w:jc w:val="center"/>
              <w:rPr>
                <w:rFonts w:ascii="Calibri" w:eastAsia="Times New Roman" w:hAnsi="Calibri" w:cs="Times New Roman"/>
                <w:b/>
                <w:bCs/>
              </w:rPr>
            </w:pPr>
            <w:r>
              <w:rPr>
                <w:rFonts w:ascii="Calibri" w:eastAsia="Times New Roman" w:hAnsi="Calibri" w:cs="Times New Roman"/>
                <w:b/>
                <w:bCs/>
              </w:rPr>
              <w:t>Approaches</w:t>
            </w:r>
          </w:p>
        </w:tc>
        <w:tc>
          <w:tcPr>
            <w:tcW w:w="3487" w:type="pct"/>
            <w:vAlign w:val="bottom"/>
          </w:tcPr>
          <w:p w14:paraId="7D5CF5D4" w14:textId="77777777" w:rsidR="006849D7"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between 40 and 49</w:t>
            </w:r>
          </w:p>
        </w:tc>
        <w:tc>
          <w:tcPr>
            <w:tcW w:w="771" w:type="pct"/>
            <w:vAlign w:val="bottom"/>
          </w:tcPr>
          <w:p w14:paraId="724FCC82"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37.5</w:t>
            </w:r>
          </w:p>
        </w:tc>
      </w:tr>
      <w:tr w:rsidR="006849D7" w:rsidRPr="00D84E39" w14:paraId="72991C73" w14:textId="77777777" w:rsidTr="006849D7">
        <w:trPr>
          <w:trHeight w:val="600"/>
          <w:jc w:val="center"/>
        </w:trPr>
        <w:tc>
          <w:tcPr>
            <w:tcW w:w="742" w:type="pct"/>
            <w:shd w:val="clear" w:color="auto" w:fill="FFC000"/>
            <w:noWrap/>
            <w:vAlign w:val="bottom"/>
          </w:tcPr>
          <w:p w14:paraId="26B4259B" w14:textId="77777777" w:rsidR="006849D7" w:rsidRPr="001D740C" w:rsidRDefault="006849D7" w:rsidP="006849D7">
            <w:pPr>
              <w:jc w:val="center"/>
              <w:rPr>
                <w:rFonts w:ascii="Calibri" w:eastAsia="Times New Roman" w:hAnsi="Calibri" w:cs="Times New Roman"/>
                <w:b/>
                <w:bCs/>
              </w:rPr>
            </w:pPr>
            <w:r>
              <w:rPr>
                <w:rFonts w:ascii="Calibri" w:eastAsia="Times New Roman" w:hAnsi="Calibri" w:cs="Times New Roman"/>
                <w:b/>
                <w:bCs/>
              </w:rPr>
              <w:t>Unsatisfactory</w:t>
            </w:r>
          </w:p>
        </w:tc>
        <w:tc>
          <w:tcPr>
            <w:tcW w:w="3487" w:type="pct"/>
            <w:vAlign w:val="bottom"/>
          </w:tcPr>
          <w:p w14:paraId="6813758F" w14:textId="77777777" w:rsidR="006849D7"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between 30 and 39</w:t>
            </w:r>
          </w:p>
        </w:tc>
        <w:tc>
          <w:tcPr>
            <w:tcW w:w="771" w:type="pct"/>
            <w:vAlign w:val="bottom"/>
          </w:tcPr>
          <w:p w14:paraId="4D91EF60"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15.0</w:t>
            </w:r>
          </w:p>
        </w:tc>
      </w:tr>
      <w:tr w:rsidR="006849D7" w:rsidRPr="00D84E39" w14:paraId="25CEA8B4" w14:textId="77777777" w:rsidTr="006849D7">
        <w:trPr>
          <w:trHeight w:val="600"/>
          <w:jc w:val="center"/>
        </w:trPr>
        <w:tc>
          <w:tcPr>
            <w:tcW w:w="742" w:type="pct"/>
            <w:shd w:val="clear" w:color="auto" w:fill="C0504D" w:themeFill="accent2"/>
            <w:noWrap/>
            <w:vAlign w:val="bottom"/>
            <w:hideMark/>
          </w:tcPr>
          <w:p w14:paraId="76E55B2A" w14:textId="77777777" w:rsidR="006849D7" w:rsidRPr="001D740C" w:rsidRDefault="006849D7" w:rsidP="006849D7">
            <w:pPr>
              <w:jc w:val="center"/>
              <w:rPr>
                <w:rFonts w:ascii="Calibri" w:eastAsia="Times New Roman" w:hAnsi="Calibri" w:cs="Times New Roman"/>
                <w:b/>
                <w:bCs/>
              </w:rPr>
            </w:pPr>
            <w:r>
              <w:rPr>
                <w:rFonts w:ascii="Calibri" w:eastAsia="Times New Roman" w:hAnsi="Calibri" w:cs="Times New Roman"/>
                <w:b/>
                <w:bCs/>
              </w:rPr>
              <w:t>Critical</w:t>
            </w:r>
          </w:p>
        </w:tc>
        <w:tc>
          <w:tcPr>
            <w:tcW w:w="3487" w:type="pct"/>
            <w:vAlign w:val="bottom"/>
          </w:tcPr>
          <w:p w14:paraId="57E74FF8" w14:textId="77777777" w:rsidR="006849D7" w:rsidRPr="00D84E39" w:rsidRDefault="006849D7" w:rsidP="006849D7">
            <w:pPr>
              <w:rPr>
                <w:rFonts w:ascii="Calibri" w:eastAsia="Times New Roman" w:hAnsi="Calibri" w:cs="Times New Roman"/>
              </w:rPr>
            </w:pPr>
            <w:r>
              <w:rPr>
                <w:rFonts w:ascii="Calibri" w:eastAsia="Times New Roman" w:hAnsi="Calibri" w:cs="Times New Roman"/>
              </w:rPr>
              <w:t>The weighted average of the nearest deciles is 29 or lower</w:t>
            </w:r>
          </w:p>
        </w:tc>
        <w:tc>
          <w:tcPr>
            <w:tcW w:w="771" w:type="pct"/>
            <w:vAlign w:val="bottom"/>
          </w:tcPr>
          <w:p w14:paraId="5FF3C4B8" w14:textId="77777777" w:rsidR="006849D7" w:rsidRDefault="006849D7" w:rsidP="006849D7">
            <w:pPr>
              <w:jc w:val="center"/>
              <w:rPr>
                <w:rFonts w:ascii="Calibri" w:eastAsia="Times New Roman" w:hAnsi="Calibri" w:cs="Times New Roman"/>
              </w:rPr>
            </w:pPr>
            <w:r>
              <w:rPr>
                <w:rFonts w:ascii="Calibri" w:eastAsia="Times New Roman" w:hAnsi="Calibri" w:cs="Times New Roman"/>
              </w:rPr>
              <w:t>2.5</w:t>
            </w:r>
          </w:p>
        </w:tc>
      </w:tr>
    </w:tbl>
    <w:p w14:paraId="042ABD6A" w14:textId="77777777" w:rsidR="002F5F81" w:rsidRDefault="002F5F81" w:rsidP="00807D02"/>
    <w:p w14:paraId="76B12B93" w14:textId="77777777" w:rsidR="002E5F98" w:rsidRDefault="002E5F98" w:rsidP="00807D02"/>
    <w:p w14:paraId="05E19CB8" w14:textId="77777777" w:rsidR="002E5F98" w:rsidRDefault="002E5F98" w:rsidP="00807D02"/>
    <w:p w14:paraId="3B45EB21" w14:textId="77777777" w:rsidR="002E5F98" w:rsidRDefault="002E5F98" w:rsidP="00807D02"/>
    <w:p w14:paraId="045A11E1" w14:textId="77777777" w:rsidR="002E5F98" w:rsidRDefault="002E5F98" w:rsidP="00807D02"/>
    <w:p w14:paraId="0E6CA3C2" w14:textId="77777777" w:rsidR="002E5F98" w:rsidRDefault="002E5F98" w:rsidP="00807D02"/>
    <w:p w14:paraId="78D2F3BC" w14:textId="77777777" w:rsidR="002E5F98" w:rsidRDefault="002E5F98" w:rsidP="00807D02"/>
    <w:p w14:paraId="4FDD5E38" w14:textId="77777777" w:rsidR="002E5F98" w:rsidRDefault="002E5F98" w:rsidP="00807D02"/>
    <w:p w14:paraId="7A746BF9" w14:textId="77777777" w:rsidR="002E5F98" w:rsidRDefault="002E5F98" w:rsidP="00807D02"/>
    <w:p w14:paraId="5F5F234B" w14:textId="77777777" w:rsidR="002E5F98" w:rsidRDefault="002E5F98" w:rsidP="00807D02"/>
    <w:p w14:paraId="5FD9ED8E" w14:textId="77777777" w:rsidR="002E5F98" w:rsidRDefault="002E5F98" w:rsidP="00807D02"/>
    <w:p w14:paraId="467B3D59" w14:textId="77777777" w:rsidR="002E5F98" w:rsidRDefault="002E5F98" w:rsidP="00807D02"/>
    <w:p w14:paraId="00ED543B" w14:textId="77777777" w:rsidR="002E5F98" w:rsidRDefault="002E5F98" w:rsidP="00807D02"/>
    <w:p w14:paraId="2BC50731" w14:textId="77777777" w:rsidR="002E5F98" w:rsidRDefault="002E5F98" w:rsidP="00807D02"/>
    <w:p w14:paraId="40B1BFA3" w14:textId="77777777" w:rsidR="002E5F98" w:rsidRDefault="002E5F98" w:rsidP="00807D02"/>
    <w:p w14:paraId="7E11B793" w14:textId="77777777" w:rsidR="00D32908" w:rsidRPr="00ED2910" w:rsidRDefault="00A83542" w:rsidP="002C78F1">
      <w:pPr>
        <w:pStyle w:val="Heading1"/>
        <w:tabs>
          <w:tab w:val="left" w:pos="5699"/>
        </w:tabs>
        <w:ind w:right="126"/>
        <w:rPr>
          <w:b/>
          <w:bCs/>
        </w:rPr>
      </w:pPr>
      <w:bookmarkStart w:id="29" w:name="_Toc474838420"/>
      <w:bookmarkStart w:id="30" w:name="_Toc474940145"/>
      <w:r>
        <w:lastRenderedPageBreak/>
        <w:t xml:space="preserve">College &amp; Career Readiness </w:t>
      </w:r>
      <w:r w:rsidR="002E5F98">
        <w:t xml:space="preserve">Measure </w:t>
      </w:r>
      <w:r w:rsidR="00C177F0">
        <w:t>3.a</w:t>
      </w:r>
      <w:r w:rsidR="00C27DD8">
        <w:t>.</w:t>
      </w:r>
      <w:r w:rsidR="00396D0D">
        <w:t xml:space="preserve"> </w:t>
      </w:r>
      <w:r w:rsidR="00D878D3">
        <w:t>Credits Earned</w:t>
      </w:r>
      <w:bookmarkEnd w:id="29"/>
      <w:bookmarkEnd w:id="30"/>
    </w:p>
    <w:p w14:paraId="08BC8561" w14:textId="77777777" w:rsidR="00D32908" w:rsidRDefault="002C78F1">
      <w:pPr>
        <w:pStyle w:val="BodyText"/>
        <w:spacing w:before="56"/>
        <w:ind w:right="126"/>
        <w:rPr>
          <w:u w:color="000000"/>
        </w:rPr>
      </w:pPr>
      <w:r>
        <w:rPr>
          <w:u w:val="single" w:color="000000"/>
        </w:rPr>
        <w:t>Metrics</w:t>
      </w:r>
      <w:r w:rsidR="00622118">
        <w:rPr>
          <w:u w:val="single" w:color="000000"/>
        </w:rPr>
        <w:t>:</w:t>
      </w:r>
      <w:r>
        <w:rPr>
          <w:u w:color="000000"/>
        </w:rPr>
        <w:t xml:space="preserve"> </w:t>
      </w:r>
      <w:r w:rsidR="00E32419">
        <w:rPr>
          <w:u w:color="000000"/>
        </w:rPr>
        <w:t>Average number of credits earned by students each quarter</w:t>
      </w:r>
    </w:p>
    <w:p w14:paraId="4355A132" w14:textId="77777777" w:rsidR="002C78F1" w:rsidRDefault="002C78F1">
      <w:pPr>
        <w:pStyle w:val="BodyText"/>
        <w:spacing w:before="56"/>
        <w:ind w:right="126"/>
        <w:rPr>
          <w:u w:color="000000"/>
        </w:rPr>
      </w:pPr>
      <w:r>
        <w:rPr>
          <w:u w:val="single" w:color="000000"/>
        </w:rPr>
        <w:t>Applicable grade levels:</w:t>
      </w:r>
      <w:r>
        <w:rPr>
          <w:u w:color="000000"/>
        </w:rPr>
        <w:t xml:space="preserve"> </w:t>
      </w:r>
      <w:r w:rsidR="00E32419">
        <w:rPr>
          <w:u w:color="000000"/>
        </w:rPr>
        <w:t>All students, all grade levels</w:t>
      </w:r>
    </w:p>
    <w:p w14:paraId="4715D587" w14:textId="77777777" w:rsidR="00E32419" w:rsidRDefault="00E32419">
      <w:pPr>
        <w:pStyle w:val="BodyText"/>
        <w:spacing w:before="56"/>
        <w:ind w:right="126"/>
        <w:rPr>
          <w:u w:color="000000"/>
        </w:rPr>
      </w:pPr>
      <w:r>
        <w:rPr>
          <w:u w:val="single" w:color="000000"/>
        </w:rPr>
        <w:t>Average number of credits earned</w:t>
      </w:r>
      <w:r w:rsidR="00E62A20">
        <w:rPr>
          <w:u w:val="single" w:color="000000"/>
        </w:rPr>
        <w:t xml:space="preserve"> per quarter,</w:t>
      </w:r>
      <w:r w:rsidR="00E62A20">
        <w:rPr>
          <w:u w:color="000000"/>
        </w:rPr>
        <w:t xml:space="preserve"> per student should first be computed using the following equation</w:t>
      </w:r>
      <w:r>
        <w:rPr>
          <w:u w:color="000000"/>
        </w:rPr>
        <w:t xml:space="preserve">: </w:t>
      </w:r>
    </w:p>
    <w:p w14:paraId="2BAD7822" w14:textId="77777777" w:rsidR="00E62A20" w:rsidRPr="00E62A20" w:rsidRDefault="00E62A20" w:rsidP="00E62A20">
      <w:pPr>
        <w:pStyle w:val="NoSpacing"/>
        <w:jc w:val="center"/>
        <w:rPr>
          <w:u w:val="single" w:color="000000"/>
        </w:rPr>
      </w:pPr>
      <w:r w:rsidRPr="00E62A20">
        <w:rPr>
          <w:u w:val="single" w:color="000000"/>
        </w:rPr>
        <w:t>Number of Credits Earned</w:t>
      </w:r>
      <w:r>
        <w:rPr>
          <w:u w:val="single" w:color="000000"/>
        </w:rPr>
        <w:t xml:space="preserve"> during the Year</w:t>
      </w:r>
    </w:p>
    <w:p w14:paraId="38E66CE5" w14:textId="77777777" w:rsidR="00E62A20" w:rsidRPr="00E62A20" w:rsidRDefault="00E62A20" w:rsidP="00E62A20">
      <w:pPr>
        <w:pStyle w:val="NoSpacing"/>
        <w:jc w:val="center"/>
        <w:rPr>
          <w:u w:color="000000"/>
        </w:rPr>
      </w:pPr>
      <w:r>
        <w:rPr>
          <w:u w:color="000000"/>
        </w:rPr>
        <w:t>Number of Quarters Enrolled that Year</w:t>
      </w:r>
    </w:p>
    <w:p w14:paraId="7AEC5E09" w14:textId="77777777" w:rsidR="00E62A20" w:rsidRDefault="00E62A20" w:rsidP="00E62A20">
      <w:pPr>
        <w:pStyle w:val="BodyText"/>
        <w:spacing w:before="56"/>
        <w:ind w:right="126"/>
        <w:rPr>
          <w:u w:color="000000"/>
        </w:rPr>
      </w:pPr>
    </w:p>
    <w:p w14:paraId="58E07F19" w14:textId="77777777" w:rsidR="00E62A20" w:rsidRDefault="00E62A20" w:rsidP="00E62A20">
      <w:pPr>
        <w:pStyle w:val="BodyText"/>
        <w:spacing w:before="56"/>
        <w:ind w:right="126"/>
        <w:rPr>
          <w:u w:color="000000"/>
        </w:rPr>
      </w:pPr>
      <w:r>
        <w:rPr>
          <w:u w:color="000000"/>
        </w:rPr>
        <w:t>Then the pe</w:t>
      </w:r>
      <w:r w:rsidR="00796DEE">
        <w:rPr>
          <w:u w:color="000000"/>
        </w:rPr>
        <w:t>rcentage of students</w:t>
      </w:r>
      <w:r>
        <w:rPr>
          <w:u w:color="000000"/>
        </w:rPr>
        <w:t xml:space="preserve"> meeting the 1.5 credit average is computed as follows:</w:t>
      </w:r>
    </w:p>
    <w:p w14:paraId="3778B76D" w14:textId="77777777" w:rsidR="00E62A20" w:rsidRDefault="00E62A20" w:rsidP="00E62A20">
      <w:pPr>
        <w:pStyle w:val="Heading3"/>
        <w:rPr>
          <w:u w:color="000000"/>
        </w:rPr>
      </w:pPr>
      <w:bookmarkStart w:id="31" w:name="_Toc474843248"/>
      <w:bookmarkStart w:id="32" w:name="_Toc474940146"/>
      <w:r>
        <w:rPr>
          <w:u w:color="000000"/>
        </w:rPr>
        <w:t>Numerator</w:t>
      </w:r>
      <w:bookmarkEnd w:id="31"/>
      <w:bookmarkEnd w:id="32"/>
    </w:p>
    <w:p w14:paraId="2D21A62B" w14:textId="77777777" w:rsidR="00E62A20" w:rsidRDefault="00E62A20" w:rsidP="00E62A20">
      <w:pPr>
        <w:jc w:val="center"/>
      </w:pPr>
      <w:r>
        <w:t>Number of students with an average credit per quarter equal to 1.5 or higher</w:t>
      </w:r>
    </w:p>
    <w:p w14:paraId="7EF083BA" w14:textId="77777777" w:rsidR="00E62A20" w:rsidRDefault="00E62A20" w:rsidP="00E62A20">
      <w:pPr>
        <w:pStyle w:val="Heading3"/>
      </w:pPr>
      <w:bookmarkStart w:id="33" w:name="_Toc474843249"/>
      <w:bookmarkStart w:id="34" w:name="_Toc474940147"/>
      <w:r>
        <w:t>Denominator</w:t>
      </w:r>
      <w:bookmarkEnd w:id="33"/>
      <w:bookmarkEnd w:id="34"/>
    </w:p>
    <w:p w14:paraId="6BFA7B0B" w14:textId="77777777" w:rsidR="00E62A20" w:rsidRPr="002E5F98" w:rsidRDefault="00E62A20" w:rsidP="002E5F98">
      <w:pPr>
        <w:jc w:val="center"/>
      </w:pPr>
      <w:r>
        <w:t>Number of Students enrolled</w:t>
      </w:r>
      <w:r w:rsidR="00D878D3">
        <w:t xml:space="preserve"> that year</w:t>
      </w:r>
    </w:p>
    <w:p w14:paraId="034F343C" w14:textId="77777777" w:rsidR="0040756F" w:rsidRDefault="0040756F" w:rsidP="0040756F">
      <w:pPr>
        <w:pStyle w:val="Heading2"/>
        <w:rPr>
          <w:rFonts w:eastAsia="Calibri"/>
        </w:rPr>
      </w:pPr>
      <w:bookmarkStart w:id="35" w:name="_Toc474843250"/>
      <w:bookmarkStart w:id="36" w:name="_Toc474940148"/>
      <w:r>
        <w:rPr>
          <w:rFonts w:eastAsia="Calibri"/>
        </w:rPr>
        <w:t>Exemp</w:t>
      </w:r>
      <w:r w:rsidR="00D878D3">
        <w:rPr>
          <w:rFonts w:eastAsia="Calibri"/>
        </w:rPr>
        <w:t>ted Students</w:t>
      </w:r>
      <w:bookmarkEnd w:id="35"/>
      <w:bookmarkEnd w:id="36"/>
    </w:p>
    <w:p w14:paraId="1093902E" w14:textId="77777777" w:rsidR="0012753F" w:rsidRDefault="0012753F" w:rsidP="0012753F">
      <w:pPr>
        <w:pStyle w:val="ListParagraph"/>
        <w:numPr>
          <w:ilvl w:val="0"/>
          <w:numId w:val="7"/>
        </w:numPr>
        <w:tabs>
          <w:tab w:val="left" w:pos="841"/>
        </w:tabs>
        <w:spacing w:line="279" w:lineRule="exact"/>
        <w:ind w:right="126" w:hanging="360"/>
        <w:rPr>
          <w:rFonts w:ascii="Calibri" w:eastAsia="Calibri" w:hAnsi="Calibri" w:cs="Calibri"/>
        </w:rPr>
      </w:pPr>
      <w:r>
        <w:rPr>
          <w:rFonts w:ascii="Calibri"/>
          <w:sz w:val="22"/>
        </w:rPr>
        <w:t>Students enrolled at the school for fewer than 91 consecutive days</w:t>
      </w:r>
    </w:p>
    <w:p w14:paraId="080EF8E7" w14:textId="77777777" w:rsidR="00590A30" w:rsidRDefault="00E07DC6" w:rsidP="00590A30">
      <w:pPr>
        <w:pStyle w:val="Heading2"/>
        <w:rPr>
          <w:rFonts w:eastAsia="Calibri"/>
        </w:rPr>
      </w:pPr>
      <w:bookmarkStart w:id="37" w:name="_Toc474843251"/>
      <w:bookmarkStart w:id="38" w:name="_Toc474940149"/>
      <w:r>
        <w:rPr>
          <w:rFonts w:eastAsia="Calibri"/>
        </w:rPr>
        <w:t>Ratings and targets</w:t>
      </w:r>
      <w:bookmarkEnd w:id="37"/>
      <w:bookmarkEnd w:id="38"/>
    </w:p>
    <w:p w14:paraId="416F6546" w14:textId="77777777" w:rsidR="00836420" w:rsidRDefault="00796DEE" w:rsidP="00590A30">
      <w:pPr>
        <w:rPr>
          <w:rFonts w:eastAsia="Calibri"/>
          <w:sz w:val="22"/>
          <w:szCs w:val="22"/>
        </w:rPr>
      </w:pPr>
      <w:r>
        <w:rPr>
          <w:rFonts w:eastAsia="Calibri"/>
          <w:sz w:val="22"/>
          <w:szCs w:val="22"/>
        </w:rPr>
        <w:t xml:space="preserve">The table below outlines the targets for the percent of students achieving a quarterly </w:t>
      </w:r>
      <w:r w:rsidR="00132F56">
        <w:rPr>
          <w:rFonts w:eastAsia="Calibri"/>
          <w:sz w:val="22"/>
          <w:szCs w:val="22"/>
        </w:rPr>
        <w:t>credit earning rate of 1.5 credits, under</w:t>
      </w:r>
      <w:r>
        <w:rPr>
          <w:rFonts w:eastAsia="Calibri"/>
          <w:sz w:val="22"/>
          <w:szCs w:val="22"/>
        </w:rPr>
        <w:t xml:space="preserve"> each of the possible ratings</w:t>
      </w:r>
      <w:r w:rsidR="00132F56">
        <w:rPr>
          <w:rFonts w:eastAsia="Calibri"/>
          <w:sz w:val="22"/>
          <w:szCs w:val="22"/>
        </w:rPr>
        <w:t>.</w:t>
      </w:r>
    </w:p>
    <w:tbl>
      <w:tblPr>
        <w:tblStyle w:val="TableGrid"/>
        <w:tblW w:w="5000" w:type="pct"/>
        <w:jc w:val="center"/>
        <w:tblLook w:val="04A0" w:firstRow="1" w:lastRow="0" w:firstColumn="1" w:lastColumn="0" w:noHBand="0" w:noVBand="1"/>
      </w:tblPr>
      <w:tblGrid>
        <w:gridCol w:w="1453"/>
        <w:gridCol w:w="6740"/>
        <w:gridCol w:w="1603"/>
      </w:tblGrid>
      <w:tr w:rsidR="0019394E" w:rsidRPr="00D84E39" w14:paraId="4A42B7DC" w14:textId="77777777" w:rsidTr="0019394E">
        <w:trPr>
          <w:trHeight w:val="660"/>
          <w:jc w:val="center"/>
        </w:trPr>
        <w:tc>
          <w:tcPr>
            <w:tcW w:w="742" w:type="pct"/>
            <w:vAlign w:val="bottom"/>
            <w:hideMark/>
          </w:tcPr>
          <w:p w14:paraId="698D0079" w14:textId="77777777" w:rsidR="0019394E" w:rsidRPr="00D84E39" w:rsidRDefault="0019394E" w:rsidP="0019394E">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40" w:type="pct"/>
            <w:vAlign w:val="bottom"/>
            <w:hideMark/>
          </w:tcPr>
          <w:p w14:paraId="61581E30" w14:textId="77777777" w:rsidR="0019394E" w:rsidRPr="00D84E39" w:rsidRDefault="0019394E" w:rsidP="0019394E">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818" w:type="pct"/>
            <w:vAlign w:val="bottom"/>
          </w:tcPr>
          <w:p w14:paraId="0C8AF76D" w14:textId="77777777" w:rsidR="0019394E" w:rsidRDefault="0019394E" w:rsidP="0019394E">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19394E" w:rsidRPr="00D84E39" w14:paraId="3936A5CE" w14:textId="77777777" w:rsidTr="0019394E">
        <w:trPr>
          <w:trHeight w:val="600"/>
          <w:jc w:val="center"/>
        </w:trPr>
        <w:tc>
          <w:tcPr>
            <w:tcW w:w="742" w:type="pct"/>
            <w:shd w:val="clear" w:color="auto" w:fill="8064A2" w:themeFill="accent4"/>
            <w:noWrap/>
            <w:vAlign w:val="bottom"/>
          </w:tcPr>
          <w:p w14:paraId="7C9453A7"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Exceptional</w:t>
            </w:r>
          </w:p>
        </w:tc>
        <w:tc>
          <w:tcPr>
            <w:tcW w:w="3440" w:type="pct"/>
            <w:vAlign w:val="bottom"/>
          </w:tcPr>
          <w:p w14:paraId="615A1A9D" w14:textId="77777777" w:rsidR="0019394E" w:rsidRDefault="0019394E" w:rsidP="0019394E">
            <w:pPr>
              <w:rPr>
                <w:rFonts w:ascii="Calibri" w:eastAsia="Times New Roman" w:hAnsi="Calibri" w:cs="Times New Roman"/>
              </w:rPr>
            </w:pPr>
            <w:r>
              <w:rPr>
                <w:rFonts w:ascii="Calibri" w:eastAsia="Times New Roman" w:hAnsi="Calibri" w:cs="Times New Roman"/>
              </w:rPr>
              <w:t>Between 90 and 100 percent of students averaged 1.5 credits earned per quarter enrolled</w:t>
            </w:r>
          </w:p>
        </w:tc>
        <w:tc>
          <w:tcPr>
            <w:tcW w:w="818" w:type="pct"/>
            <w:vAlign w:val="bottom"/>
          </w:tcPr>
          <w:p w14:paraId="58BBD712"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97.5</w:t>
            </w:r>
          </w:p>
        </w:tc>
      </w:tr>
      <w:tr w:rsidR="0019394E" w:rsidRPr="00D84E39" w14:paraId="7CB95C9A" w14:textId="77777777" w:rsidTr="0019394E">
        <w:trPr>
          <w:trHeight w:val="600"/>
          <w:jc w:val="center"/>
        </w:trPr>
        <w:tc>
          <w:tcPr>
            <w:tcW w:w="742" w:type="pct"/>
            <w:shd w:val="clear" w:color="auto" w:fill="0070C0"/>
            <w:noWrap/>
            <w:vAlign w:val="bottom"/>
            <w:hideMark/>
          </w:tcPr>
          <w:p w14:paraId="0083A8A1" w14:textId="77777777" w:rsidR="0019394E" w:rsidRPr="001D740C" w:rsidRDefault="0019394E" w:rsidP="0019394E">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40" w:type="pct"/>
            <w:vAlign w:val="bottom"/>
          </w:tcPr>
          <w:p w14:paraId="55E8E554"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Between 75 and 89.9 percent of students averaged 1.5 credits earned per quarter enrolled</w:t>
            </w:r>
          </w:p>
        </w:tc>
        <w:tc>
          <w:tcPr>
            <w:tcW w:w="818" w:type="pct"/>
            <w:vAlign w:val="bottom"/>
          </w:tcPr>
          <w:p w14:paraId="62B2B43C"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85.0</w:t>
            </w:r>
          </w:p>
        </w:tc>
      </w:tr>
      <w:tr w:rsidR="0019394E" w:rsidRPr="00D84E39" w14:paraId="496E71C8" w14:textId="77777777" w:rsidTr="0019394E">
        <w:trPr>
          <w:trHeight w:val="600"/>
          <w:jc w:val="center"/>
        </w:trPr>
        <w:tc>
          <w:tcPr>
            <w:tcW w:w="742" w:type="pct"/>
            <w:shd w:val="clear" w:color="auto" w:fill="9BBB59" w:themeFill="accent3"/>
            <w:noWrap/>
            <w:vAlign w:val="bottom"/>
            <w:hideMark/>
          </w:tcPr>
          <w:p w14:paraId="6E2274FB"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Adequate</w:t>
            </w:r>
          </w:p>
        </w:tc>
        <w:tc>
          <w:tcPr>
            <w:tcW w:w="3440" w:type="pct"/>
            <w:vAlign w:val="bottom"/>
          </w:tcPr>
          <w:p w14:paraId="3AEEB6E6"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Between 60 and 74.9 percent of students averaged 1.5 credits earned per quarter enrolled</w:t>
            </w:r>
          </w:p>
        </w:tc>
        <w:tc>
          <w:tcPr>
            <w:tcW w:w="818" w:type="pct"/>
            <w:vAlign w:val="bottom"/>
          </w:tcPr>
          <w:p w14:paraId="72EB56D0"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62.5</w:t>
            </w:r>
          </w:p>
        </w:tc>
      </w:tr>
      <w:tr w:rsidR="0019394E" w:rsidRPr="00D84E39" w14:paraId="4659289A" w14:textId="77777777" w:rsidTr="0019394E">
        <w:trPr>
          <w:trHeight w:val="600"/>
          <w:jc w:val="center"/>
        </w:trPr>
        <w:tc>
          <w:tcPr>
            <w:tcW w:w="742" w:type="pct"/>
            <w:shd w:val="clear" w:color="auto" w:fill="FFFF00"/>
            <w:noWrap/>
            <w:vAlign w:val="bottom"/>
          </w:tcPr>
          <w:p w14:paraId="2D0FE830" w14:textId="77777777" w:rsidR="0019394E" w:rsidRDefault="0019394E" w:rsidP="0019394E">
            <w:pPr>
              <w:jc w:val="center"/>
              <w:rPr>
                <w:rFonts w:ascii="Calibri" w:eastAsia="Times New Roman" w:hAnsi="Calibri" w:cs="Times New Roman"/>
                <w:b/>
                <w:bCs/>
              </w:rPr>
            </w:pPr>
            <w:r>
              <w:rPr>
                <w:rFonts w:ascii="Calibri" w:eastAsia="Times New Roman" w:hAnsi="Calibri" w:cs="Times New Roman"/>
                <w:b/>
                <w:bCs/>
              </w:rPr>
              <w:t>Approaches</w:t>
            </w:r>
          </w:p>
        </w:tc>
        <w:tc>
          <w:tcPr>
            <w:tcW w:w="3440" w:type="pct"/>
            <w:vAlign w:val="bottom"/>
          </w:tcPr>
          <w:p w14:paraId="564B4DCE" w14:textId="77777777" w:rsidR="0019394E" w:rsidRDefault="0019394E" w:rsidP="0019394E">
            <w:pPr>
              <w:rPr>
                <w:rFonts w:ascii="Calibri" w:eastAsia="Times New Roman" w:hAnsi="Calibri" w:cs="Times New Roman"/>
              </w:rPr>
            </w:pPr>
            <w:r>
              <w:rPr>
                <w:rFonts w:ascii="Calibri" w:eastAsia="Times New Roman" w:hAnsi="Calibri" w:cs="Times New Roman"/>
              </w:rPr>
              <w:t>Between 45 and 59.9 percent of students averaged 1.5 credits earned per quarter enrolled</w:t>
            </w:r>
          </w:p>
        </w:tc>
        <w:tc>
          <w:tcPr>
            <w:tcW w:w="818" w:type="pct"/>
            <w:vAlign w:val="bottom"/>
          </w:tcPr>
          <w:p w14:paraId="21F4C5E8"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37.5</w:t>
            </w:r>
          </w:p>
        </w:tc>
      </w:tr>
      <w:tr w:rsidR="0019394E" w:rsidRPr="00D84E39" w14:paraId="0BD00EE8" w14:textId="77777777" w:rsidTr="0019394E">
        <w:trPr>
          <w:trHeight w:val="600"/>
          <w:jc w:val="center"/>
        </w:trPr>
        <w:tc>
          <w:tcPr>
            <w:tcW w:w="742" w:type="pct"/>
            <w:shd w:val="clear" w:color="auto" w:fill="FFC000"/>
            <w:noWrap/>
            <w:vAlign w:val="bottom"/>
          </w:tcPr>
          <w:p w14:paraId="6577752F"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Unsatisfactory</w:t>
            </w:r>
          </w:p>
        </w:tc>
        <w:tc>
          <w:tcPr>
            <w:tcW w:w="3440" w:type="pct"/>
            <w:vAlign w:val="bottom"/>
          </w:tcPr>
          <w:p w14:paraId="32D772BA" w14:textId="77777777" w:rsidR="0019394E" w:rsidRDefault="0019394E" w:rsidP="0019394E">
            <w:pPr>
              <w:rPr>
                <w:rFonts w:ascii="Calibri" w:eastAsia="Times New Roman" w:hAnsi="Calibri" w:cs="Times New Roman"/>
              </w:rPr>
            </w:pPr>
            <w:r>
              <w:rPr>
                <w:rFonts w:ascii="Calibri" w:eastAsia="Times New Roman" w:hAnsi="Calibri" w:cs="Times New Roman"/>
              </w:rPr>
              <w:t>Between  30 and 44.9 percent of students averaged 1.5 credits earned per quarter enrolled</w:t>
            </w:r>
          </w:p>
        </w:tc>
        <w:tc>
          <w:tcPr>
            <w:tcW w:w="818" w:type="pct"/>
            <w:vAlign w:val="bottom"/>
          </w:tcPr>
          <w:p w14:paraId="0E591D91"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15.0</w:t>
            </w:r>
          </w:p>
        </w:tc>
      </w:tr>
      <w:tr w:rsidR="0019394E" w:rsidRPr="00D84E39" w14:paraId="47187682" w14:textId="77777777" w:rsidTr="0019394E">
        <w:trPr>
          <w:trHeight w:val="600"/>
          <w:jc w:val="center"/>
        </w:trPr>
        <w:tc>
          <w:tcPr>
            <w:tcW w:w="742" w:type="pct"/>
            <w:shd w:val="clear" w:color="auto" w:fill="C0504D" w:themeFill="accent2"/>
            <w:noWrap/>
            <w:vAlign w:val="bottom"/>
            <w:hideMark/>
          </w:tcPr>
          <w:p w14:paraId="47D89BD8"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Critical</w:t>
            </w:r>
          </w:p>
        </w:tc>
        <w:tc>
          <w:tcPr>
            <w:tcW w:w="3440" w:type="pct"/>
            <w:vAlign w:val="bottom"/>
          </w:tcPr>
          <w:p w14:paraId="5BDF84D5"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Less than 29.9 percent of students averaged 1.5 credits earned per quarter enrolled</w:t>
            </w:r>
          </w:p>
        </w:tc>
        <w:tc>
          <w:tcPr>
            <w:tcW w:w="818" w:type="pct"/>
            <w:vAlign w:val="bottom"/>
          </w:tcPr>
          <w:p w14:paraId="28F7D7A4"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2.5</w:t>
            </w:r>
          </w:p>
        </w:tc>
      </w:tr>
    </w:tbl>
    <w:p w14:paraId="10874174" w14:textId="77777777" w:rsidR="00D32908" w:rsidRPr="00ED2910" w:rsidRDefault="00D878D3">
      <w:pPr>
        <w:pStyle w:val="Heading1"/>
        <w:tabs>
          <w:tab w:val="left" w:pos="5699"/>
        </w:tabs>
        <w:ind w:right="126"/>
        <w:rPr>
          <w:b/>
          <w:bCs/>
        </w:rPr>
      </w:pPr>
      <w:bookmarkStart w:id="39" w:name="_Toc474838421"/>
      <w:bookmarkStart w:id="40" w:name="_Toc474940150"/>
      <w:r>
        <w:lastRenderedPageBreak/>
        <w:t>Coll</w:t>
      </w:r>
      <w:r w:rsidR="00A83542">
        <w:t>ege &amp; Career Readiness Measure 3.b</w:t>
      </w:r>
      <w:r w:rsidR="00F82C0B" w:rsidRPr="00ED2910">
        <w:t xml:space="preserve">. </w:t>
      </w:r>
      <w:r>
        <w:t>Transition Success</w:t>
      </w:r>
      <w:bookmarkEnd w:id="39"/>
      <w:bookmarkEnd w:id="40"/>
    </w:p>
    <w:p w14:paraId="2FE6CC05" w14:textId="77777777" w:rsidR="00D32908" w:rsidRDefault="0040756F" w:rsidP="0040756F">
      <w:pPr>
        <w:pStyle w:val="BodyText"/>
        <w:ind w:left="0" w:right="126" w:firstLine="140"/>
        <w:rPr>
          <w:u w:color="000000"/>
        </w:rPr>
      </w:pPr>
      <w:r>
        <w:rPr>
          <w:u w:val="single" w:color="000000"/>
        </w:rPr>
        <w:t>Metric</w:t>
      </w:r>
      <w:r w:rsidR="00622118">
        <w:rPr>
          <w:u w:val="single" w:color="000000"/>
        </w:rPr>
        <w:t>:</w:t>
      </w:r>
      <w:r>
        <w:rPr>
          <w:u w:color="000000"/>
        </w:rPr>
        <w:t xml:space="preserve"> </w:t>
      </w:r>
      <w:r w:rsidR="00D878D3">
        <w:rPr>
          <w:u w:color="000000"/>
        </w:rPr>
        <w:t xml:space="preserve">Percent of students to complete high school or transfer to another degree granting public </w:t>
      </w:r>
      <w:r w:rsidR="002E378F">
        <w:rPr>
          <w:u w:color="000000"/>
        </w:rPr>
        <w:tab/>
      </w:r>
      <w:r w:rsidR="00D878D3">
        <w:rPr>
          <w:u w:color="000000"/>
        </w:rPr>
        <w:t>education entity</w:t>
      </w:r>
    </w:p>
    <w:p w14:paraId="36712664" w14:textId="77777777" w:rsidR="003F0FFF" w:rsidRDefault="00F51B2C" w:rsidP="0040756F">
      <w:pPr>
        <w:pStyle w:val="BodyText"/>
        <w:ind w:left="0" w:right="126" w:firstLine="140"/>
        <w:rPr>
          <w:u w:color="000000"/>
        </w:rPr>
      </w:pPr>
      <w:r w:rsidRPr="00F51B2C">
        <w:rPr>
          <w:u w:val="single" w:color="000000"/>
        </w:rPr>
        <w:t>Applicable grade levels</w:t>
      </w:r>
      <w:r>
        <w:rPr>
          <w:u w:color="000000"/>
        </w:rPr>
        <w:t>: All grades, all students</w:t>
      </w:r>
    </w:p>
    <w:p w14:paraId="496BD341" w14:textId="0A9373DE" w:rsidR="003F0FFF" w:rsidRDefault="003F0FFF" w:rsidP="0040756F">
      <w:pPr>
        <w:pStyle w:val="BodyText"/>
        <w:ind w:left="0" w:right="126" w:firstLine="140"/>
        <w:rPr>
          <w:u w:color="000000"/>
        </w:rPr>
      </w:pPr>
      <w:r>
        <w:rPr>
          <w:u w:color="000000"/>
        </w:rPr>
        <w:t>Following are the exit codes, and a short description of the definition for each code (as published by the Nevada Department of Education), for the exit type that are considered successful, non-successful, and neutral</w:t>
      </w:r>
      <w:r w:rsidR="00FE2D79">
        <w:rPr>
          <w:u w:color="000000"/>
        </w:rPr>
        <w:t xml:space="preserve"> transitions. (NOTE: “Neutral transitions” here refer</w:t>
      </w:r>
      <w:r>
        <w:rPr>
          <w:u w:color="000000"/>
        </w:rPr>
        <w:t xml:space="preserve"> to the </w:t>
      </w:r>
      <w:r w:rsidR="00FE2D79">
        <w:rPr>
          <w:u w:color="000000"/>
        </w:rPr>
        <w:t>school and whether the student remains in an educational option, or not, and the ability for the school to impact whether a student exits for a particular reason. For example, a school should not be held responsible for a student becoming incarcerated when they are not on school grounds. Neutral transitions do not imply that the transition is neutral for the student</w:t>
      </w:r>
      <w:r>
        <w:rPr>
          <w:u w:color="000000"/>
        </w:rPr>
        <w:t xml:space="preserve">). </w:t>
      </w:r>
    </w:p>
    <w:p w14:paraId="24F5A9DE" w14:textId="77777777" w:rsidR="00D878D3" w:rsidRDefault="00CB40D5" w:rsidP="0040756F">
      <w:pPr>
        <w:pStyle w:val="BodyText"/>
        <w:ind w:left="0" w:right="126" w:firstLine="140"/>
        <w:rPr>
          <w:u w:color="000000"/>
        </w:rPr>
      </w:pPr>
      <w:r>
        <w:rPr>
          <w:u w:val="single" w:color="000000"/>
        </w:rPr>
        <w:t>Successful transition</w:t>
      </w:r>
      <w:r w:rsidR="00D878D3">
        <w:rPr>
          <w:u w:color="000000"/>
        </w:rPr>
        <w:t>: Students that exit the school with the following exit codes</w:t>
      </w:r>
    </w:p>
    <w:p w14:paraId="7F825D6C" w14:textId="77777777" w:rsidR="00D878D3" w:rsidRDefault="008F28F3" w:rsidP="00D878D3">
      <w:pPr>
        <w:pStyle w:val="BodyText"/>
        <w:numPr>
          <w:ilvl w:val="0"/>
          <w:numId w:val="19"/>
        </w:numPr>
        <w:ind w:right="126"/>
        <w:rPr>
          <w:u w:color="000000"/>
        </w:rPr>
      </w:pPr>
      <w:r>
        <w:rPr>
          <w:u w:color="000000"/>
        </w:rPr>
        <w:t>B18: Standard diploma</w:t>
      </w:r>
    </w:p>
    <w:p w14:paraId="4746E5C8" w14:textId="77777777" w:rsidR="008F28F3" w:rsidRDefault="008F28F3" w:rsidP="00D878D3">
      <w:pPr>
        <w:pStyle w:val="BodyText"/>
        <w:numPr>
          <w:ilvl w:val="0"/>
          <w:numId w:val="19"/>
        </w:numPr>
        <w:ind w:right="126"/>
        <w:rPr>
          <w:u w:color="000000"/>
        </w:rPr>
      </w:pPr>
      <w:r>
        <w:rPr>
          <w:u w:color="000000"/>
        </w:rPr>
        <w:t>B19: Advanced diploma</w:t>
      </w:r>
    </w:p>
    <w:p w14:paraId="05E9F2B7" w14:textId="77777777" w:rsidR="008F28F3" w:rsidRDefault="008F28F3" w:rsidP="00D878D3">
      <w:pPr>
        <w:pStyle w:val="BodyText"/>
        <w:numPr>
          <w:ilvl w:val="0"/>
          <w:numId w:val="19"/>
        </w:numPr>
        <w:ind w:right="126"/>
        <w:rPr>
          <w:u w:color="000000"/>
        </w:rPr>
      </w:pPr>
      <w:r>
        <w:rPr>
          <w:u w:color="000000"/>
        </w:rPr>
        <w:t>B21: Adjusted diploma</w:t>
      </w:r>
    </w:p>
    <w:p w14:paraId="7B110DC6" w14:textId="77777777" w:rsidR="00D4670C" w:rsidRDefault="00D4670C" w:rsidP="00D878D3">
      <w:pPr>
        <w:pStyle w:val="BodyText"/>
        <w:numPr>
          <w:ilvl w:val="0"/>
          <w:numId w:val="19"/>
        </w:numPr>
        <w:ind w:right="126"/>
        <w:rPr>
          <w:u w:color="000000"/>
        </w:rPr>
      </w:pPr>
      <w:r>
        <w:rPr>
          <w:u w:color="000000"/>
        </w:rPr>
        <w:t>W1a: Different grade/track, same school and year</w:t>
      </w:r>
    </w:p>
    <w:p w14:paraId="584A6714" w14:textId="77777777" w:rsidR="008F28F3" w:rsidRDefault="008F28F3" w:rsidP="00D878D3">
      <w:pPr>
        <w:pStyle w:val="BodyText"/>
        <w:numPr>
          <w:ilvl w:val="0"/>
          <w:numId w:val="19"/>
        </w:numPr>
        <w:ind w:right="126"/>
        <w:rPr>
          <w:u w:color="000000"/>
        </w:rPr>
      </w:pPr>
      <w:r>
        <w:rPr>
          <w:u w:color="000000"/>
        </w:rPr>
        <w:t>W1b: Successful transfer to another public school in the same district</w:t>
      </w:r>
      <w:r w:rsidR="00D4670C">
        <w:rPr>
          <w:u w:color="000000"/>
        </w:rPr>
        <w:t>, not a charter</w:t>
      </w:r>
    </w:p>
    <w:p w14:paraId="396157BD" w14:textId="77777777" w:rsidR="008F28F3" w:rsidRDefault="008F28F3" w:rsidP="00D878D3">
      <w:pPr>
        <w:pStyle w:val="BodyText"/>
        <w:numPr>
          <w:ilvl w:val="0"/>
          <w:numId w:val="19"/>
        </w:numPr>
        <w:ind w:right="126"/>
        <w:rPr>
          <w:u w:color="000000"/>
        </w:rPr>
      </w:pPr>
      <w:r>
        <w:rPr>
          <w:u w:color="000000"/>
        </w:rPr>
        <w:t>W2a: Successful transfer to another public school in the state</w:t>
      </w:r>
    </w:p>
    <w:p w14:paraId="666FAF98" w14:textId="77777777" w:rsidR="00D4670C" w:rsidRDefault="00D4670C" w:rsidP="00D878D3">
      <w:pPr>
        <w:pStyle w:val="BodyText"/>
        <w:numPr>
          <w:ilvl w:val="0"/>
          <w:numId w:val="19"/>
        </w:numPr>
        <w:ind w:right="126"/>
        <w:rPr>
          <w:u w:color="000000"/>
        </w:rPr>
      </w:pPr>
      <w:r>
        <w:rPr>
          <w:u w:color="000000"/>
        </w:rPr>
        <w:t>W2f, W1c: Successful transfer to a charter school</w:t>
      </w:r>
    </w:p>
    <w:p w14:paraId="65B0546D" w14:textId="77777777" w:rsidR="008F28F3" w:rsidRDefault="00D4670C" w:rsidP="00D878D3">
      <w:pPr>
        <w:pStyle w:val="BodyText"/>
        <w:numPr>
          <w:ilvl w:val="0"/>
          <w:numId w:val="19"/>
        </w:numPr>
        <w:ind w:right="126"/>
        <w:rPr>
          <w:u w:color="000000"/>
        </w:rPr>
      </w:pPr>
      <w:r>
        <w:rPr>
          <w:u w:color="000000"/>
        </w:rPr>
        <w:t>W3d1</w:t>
      </w:r>
      <w:r w:rsidR="008F28F3">
        <w:rPr>
          <w:u w:color="000000"/>
        </w:rPr>
        <w:t>: Successful transfer to an adult education option offering a GED</w:t>
      </w:r>
    </w:p>
    <w:p w14:paraId="38A3BD41" w14:textId="77777777" w:rsidR="008F28F3" w:rsidRDefault="00D4670C" w:rsidP="00D878D3">
      <w:pPr>
        <w:pStyle w:val="BodyText"/>
        <w:numPr>
          <w:ilvl w:val="0"/>
          <w:numId w:val="19"/>
        </w:numPr>
        <w:ind w:right="126"/>
        <w:rPr>
          <w:u w:color="000000"/>
        </w:rPr>
      </w:pPr>
      <w:r>
        <w:rPr>
          <w:u w:color="000000"/>
        </w:rPr>
        <w:t>W3d2, W3d3</w:t>
      </w:r>
      <w:r w:rsidR="008F28F3">
        <w:rPr>
          <w:u w:color="000000"/>
        </w:rPr>
        <w:t>: Successful transfer to an adult education option offering an adult diploma</w:t>
      </w:r>
    </w:p>
    <w:p w14:paraId="7CA0306A" w14:textId="77777777" w:rsidR="008F28F3" w:rsidRDefault="00D4670C" w:rsidP="00D878D3">
      <w:pPr>
        <w:pStyle w:val="BodyText"/>
        <w:numPr>
          <w:ilvl w:val="0"/>
          <w:numId w:val="19"/>
        </w:numPr>
        <w:ind w:right="126"/>
        <w:rPr>
          <w:u w:color="000000"/>
        </w:rPr>
      </w:pPr>
      <w:r>
        <w:rPr>
          <w:u w:color="000000"/>
        </w:rPr>
        <w:t>W1a1</w:t>
      </w:r>
      <w:r w:rsidR="008F28F3">
        <w:rPr>
          <w:u w:color="000000"/>
        </w:rPr>
        <w:t>: Completed the school year, but did not graduate</w:t>
      </w:r>
    </w:p>
    <w:p w14:paraId="286E4F7D" w14:textId="77777777" w:rsidR="00D4670C" w:rsidRPr="007B3A8A" w:rsidRDefault="00585BA1" w:rsidP="00D4670C">
      <w:pPr>
        <w:pStyle w:val="BodyText"/>
        <w:numPr>
          <w:ilvl w:val="0"/>
          <w:numId w:val="19"/>
        </w:numPr>
        <w:ind w:right="126"/>
        <w:rPr>
          <w:u w:color="000000"/>
        </w:rPr>
      </w:pPr>
      <w:r>
        <w:rPr>
          <w:u w:color="000000"/>
        </w:rPr>
        <w:t>W3f: 12 grade completed</w:t>
      </w:r>
    </w:p>
    <w:p w14:paraId="2AEC475A" w14:textId="77777777" w:rsidR="00D4670C" w:rsidRDefault="00CB40D5" w:rsidP="00D4670C">
      <w:pPr>
        <w:pStyle w:val="BodyText"/>
        <w:ind w:right="126"/>
        <w:rPr>
          <w:u w:color="000000"/>
        </w:rPr>
      </w:pPr>
      <w:r>
        <w:rPr>
          <w:u w:val="single" w:color="000000"/>
        </w:rPr>
        <w:t>Non-</w:t>
      </w:r>
      <w:r w:rsidR="00D4670C" w:rsidRPr="00D4670C">
        <w:rPr>
          <w:u w:val="single" w:color="000000"/>
        </w:rPr>
        <w:t>Successful Transition</w:t>
      </w:r>
      <w:r w:rsidR="00D4670C">
        <w:rPr>
          <w:u w:color="000000"/>
        </w:rPr>
        <w:t>: Students that exit the school with the following exit codes:</w:t>
      </w:r>
    </w:p>
    <w:p w14:paraId="457A1279" w14:textId="77777777" w:rsidR="00D4670C" w:rsidRDefault="00D4670C" w:rsidP="00D4670C">
      <w:pPr>
        <w:pStyle w:val="BodyText"/>
        <w:numPr>
          <w:ilvl w:val="0"/>
          <w:numId w:val="20"/>
        </w:numPr>
        <w:ind w:right="126"/>
        <w:rPr>
          <w:u w:color="000000"/>
        </w:rPr>
      </w:pPr>
      <w:r>
        <w:rPr>
          <w:u w:color="000000"/>
        </w:rPr>
        <w:t>W3a1: Withdrawn: credit deficient</w:t>
      </w:r>
    </w:p>
    <w:p w14:paraId="7723906F" w14:textId="77777777" w:rsidR="00D4670C" w:rsidRDefault="00D4670C" w:rsidP="00D4670C">
      <w:pPr>
        <w:pStyle w:val="BodyText"/>
        <w:numPr>
          <w:ilvl w:val="0"/>
          <w:numId w:val="20"/>
        </w:numPr>
        <w:ind w:right="126"/>
        <w:rPr>
          <w:u w:color="000000"/>
        </w:rPr>
      </w:pPr>
      <w:r>
        <w:rPr>
          <w:u w:color="000000"/>
        </w:rPr>
        <w:t>W3a2: Withdrawn: pregnant/parenting</w:t>
      </w:r>
    </w:p>
    <w:p w14:paraId="2A68E26B" w14:textId="77777777" w:rsidR="00D4670C" w:rsidRDefault="00D4670C" w:rsidP="00D4670C">
      <w:pPr>
        <w:pStyle w:val="BodyText"/>
        <w:numPr>
          <w:ilvl w:val="0"/>
          <w:numId w:val="20"/>
        </w:numPr>
        <w:ind w:right="126"/>
        <w:rPr>
          <w:u w:color="000000"/>
        </w:rPr>
      </w:pPr>
      <w:r>
        <w:rPr>
          <w:u w:color="000000"/>
        </w:rPr>
        <w:t>W3a3: Withdrawn: marriage</w:t>
      </w:r>
    </w:p>
    <w:p w14:paraId="14C2F286" w14:textId="77777777" w:rsidR="00D4670C" w:rsidRDefault="00D4670C" w:rsidP="00D4670C">
      <w:pPr>
        <w:pStyle w:val="BodyText"/>
        <w:numPr>
          <w:ilvl w:val="0"/>
          <w:numId w:val="20"/>
        </w:numPr>
        <w:ind w:right="126"/>
        <w:rPr>
          <w:u w:color="000000"/>
        </w:rPr>
      </w:pPr>
      <w:r>
        <w:rPr>
          <w:u w:color="000000"/>
        </w:rPr>
        <w:t>W3a4: Withdrawn: employment</w:t>
      </w:r>
    </w:p>
    <w:p w14:paraId="15DEB561" w14:textId="77777777" w:rsidR="00D4670C" w:rsidRDefault="00D4670C" w:rsidP="00D4670C">
      <w:pPr>
        <w:pStyle w:val="BodyText"/>
        <w:numPr>
          <w:ilvl w:val="0"/>
          <w:numId w:val="20"/>
        </w:numPr>
        <w:ind w:right="126"/>
        <w:rPr>
          <w:u w:color="000000"/>
        </w:rPr>
      </w:pPr>
      <w:r>
        <w:rPr>
          <w:u w:color="000000"/>
        </w:rPr>
        <w:lastRenderedPageBreak/>
        <w:t>W3a6: Withdrawn: per juvenile court</w:t>
      </w:r>
    </w:p>
    <w:p w14:paraId="1BE114A5" w14:textId="130F4B0D" w:rsidR="00D4670C" w:rsidRDefault="00B0286A" w:rsidP="00D4670C">
      <w:pPr>
        <w:pStyle w:val="BodyText"/>
        <w:numPr>
          <w:ilvl w:val="0"/>
          <w:numId w:val="20"/>
        </w:numPr>
        <w:ind w:right="126"/>
        <w:rPr>
          <w:u w:color="000000"/>
        </w:rPr>
      </w:pPr>
      <w:r>
        <w:rPr>
          <w:u w:color="000000"/>
        </w:rPr>
        <w:t>W3e7: Withdrawn: se</w:t>
      </w:r>
      <w:r w:rsidR="007B683E">
        <w:rPr>
          <w:u w:color="000000"/>
        </w:rPr>
        <w:t>lf</w:t>
      </w:r>
      <w:r w:rsidR="00D4670C">
        <w:rPr>
          <w:u w:color="000000"/>
        </w:rPr>
        <w:t>/parent support</w:t>
      </w:r>
    </w:p>
    <w:p w14:paraId="24E1BF95" w14:textId="77777777" w:rsidR="00D4670C" w:rsidRDefault="00D4670C" w:rsidP="00D4670C">
      <w:pPr>
        <w:pStyle w:val="BodyText"/>
        <w:numPr>
          <w:ilvl w:val="0"/>
          <w:numId w:val="20"/>
        </w:numPr>
        <w:ind w:right="126"/>
        <w:rPr>
          <w:u w:color="000000"/>
        </w:rPr>
      </w:pPr>
      <w:r>
        <w:rPr>
          <w:u w:color="000000"/>
        </w:rPr>
        <w:t>W3a8: Withdrawn: apprenticeship</w:t>
      </w:r>
    </w:p>
    <w:p w14:paraId="037F6F1B" w14:textId="77777777" w:rsidR="00D4670C" w:rsidRDefault="00D4670C" w:rsidP="00D4670C">
      <w:pPr>
        <w:pStyle w:val="BodyText"/>
        <w:numPr>
          <w:ilvl w:val="0"/>
          <w:numId w:val="20"/>
        </w:numPr>
        <w:ind w:right="126"/>
        <w:rPr>
          <w:u w:color="000000"/>
        </w:rPr>
      </w:pPr>
      <w:r>
        <w:rPr>
          <w:u w:color="000000"/>
        </w:rPr>
        <w:t>W3a9: Withdrawn: other</w:t>
      </w:r>
    </w:p>
    <w:p w14:paraId="4AD60638" w14:textId="77777777" w:rsidR="00585BA1" w:rsidRDefault="00585BA1" w:rsidP="00D4670C">
      <w:pPr>
        <w:pStyle w:val="BodyText"/>
        <w:numPr>
          <w:ilvl w:val="0"/>
          <w:numId w:val="20"/>
        </w:numPr>
        <w:ind w:right="126"/>
        <w:rPr>
          <w:u w:color="000000"/>
        </w:rPr>
      </w:pPr>
      <w:r>
        <w:rPr>
          <w:u w:color="000000"/>
        </w:rPr>
        <w:t>W3b: Age exceeds restrictions</w:t>
      </w:r>
    </w:p>
    <w:p w14:paraId="0FB98104" w14:textId="77777777" w:rsidR="00585BA1" w:rsidRDefault="00585BA1" w:rsidP="00D4670C">
      <w:pPr>
        <w:pStyle w:val="BodyText"/>
        <w:numPr>
          <w:ilvl w:val="0"/>
          <w:numId w:val="20"/>
        </w:numPr>
        <w:ind w:right="126"/>
        <w:rPr>
          <w:u w:color="000000"/>
        </w:rPr>
      </w:pPr>
      <w:r>
        <w:rPr>
          <w:u w:color="000000"/>
        </w:rPr>
        <w:t>W3c1: Permanent expulsion</w:t>
      </w:r>
    </w:p>
    <w:p w14:paraId="5A9734CB" w14:textId="77777777" w:rsidR="00585BA1" w:rsidRDefault="00585BA1" w:rsidP="00D4670C">
      <w:pPr>
        <w:pStyle w:val="BodyText"/>
        <w:numPr>
          <w:ilvl w:val="0"/>
          <w:numId w:val="20"/>
        </w:numPr>
        <w:ind w:right="126"/>
        <w:rPr>
          <w:u w:color="000000"/>
        </w:rPr>
      </w:pPr>
      <w:r>
        <w:rPr>
          <w:u w:color="000000"/>
        </w:rPr>
        <w:t>W3c2: Discipline or eligible reason</w:t>
      </w:r>
    </w:p>
    <w:p w14:paraId="75D12E61" w14:textId="77777777" w:rsidR="00585BA1" w:rsidRDefault="00585BA1" w:rsidP="00D4670C">
      <w:pPr>
        <w:pStyle w:val="BodyText"/>
        <w:numPr>
          <w:ilvl w:val="0"/>
          <w:numId w:val="20"/>
        </w:numPr>
        <w:ind w:right="126"/>
        <w:rPr>
          <w:u w:color="000000"/>
        </w:rPr>
      </w:pPr>
      <w:r>
        <w:rPr>
          <w:u w:color="000000"/>
        </w:rPr>
        <w:t>W3e1: 10 day absence withdrawal/whereabouts unknown</w:t>
      </w:r>
    </w:p>
    <w:p w14:paraId="74ED28E2" w14:textId="77777777" w:rsidR="00585BA1" w:rsidRPr="007B3A8A" w:rsidRDefault="00585BA1" w:rsidP="00D4670C">
      <w:pPr>
        <w:pStyle w:val="BodyText"/>
        <w:numPr>
          <w:ilvl w:val="0"/>
          <w:numId w:val="20"/>
        </w:numPr>
        <w:ind w:right="126"/>
        <w:rPr>
          <w:u w:color="000000"/>
        </w:rPr>
      </w:pPr>
      <w:r>
        <w:rPr>
          <w:u w:color="000000"/>
        </w:rPr>
        <w:t>W3e2: Absence for the entire state for a month</w:t>
      </w:r>
    </w:p>
    <w:p w14:paraId="49466ACD" w14:textId="77777777" w:rsidR="00D4670C" w:rsidRDefault="00585BA1" w:rsidP="00D4670C">
      <w:pPr>
        <w:pStyle w:val="BodyText"/>
        <w:ind w:right="126"/>
        <w:rPr>
          <w:u w:color="000000"/>
        </w:rPr>
      </w:pPr>
      <w:r w:rsidRPr="00585BA1">
        <w:rPr>
          <w:u w:val="single" w:color="000000"/>
        </w:rPr>
        <w:t>Neutral transitions</w:t>
      </w:r>
      <w:r>
        <w:rPr>
          <w:u w:color="000000"/>
        </w:rPr>
        <w:t>: The following transitions are considered neutral with respect to accountability and are, therefore, not included in either the numerator or the denominator when computing the percent of student to transition successfully.</w:t>
      </w:r>
    </w:p>
    <w:p w14:paraId="2D7C0853" w14:textId="77777777" w:rsidR="00585BA1" w:rsidRDefault="00585BA1" w:rsidP="00585BA1">
      <w:pPr>
        <w:pStyle w:val="BodyText"/>
        <w:numPr>
          <w:ilvl w:val="0"/>
          <w:numId w:val="21"/>
        </w:numPr>
        <w:ind w:right="126"/>
        <w:rPr>
          <w:u w:color="000000"/>
        </w:rPr>
      </w:pPr>
      <w:r>
        <w:rPr>
          <w:u w:color="000000"/>
        </w:rPr>
        <w:t>W2b: Transfer to private school</w:t>
      </w:r>
    </w:p>
    <w:p w14:paraId="0A58276E" w14:textId="77777777" w:rsidR="00585BA1" w:rsidRDefault="00585BA1" w:rsidP="00585BA1">
      <w:pPr>
        <w:pStyle w:val="BodyText"/>
        <w:numPr>
          <w:ilvl w:val="0"/>
          <w:numId w:val="21"/>
        </w:numPr>
        <w:ind w:right="126"/>
        <w:rPr>
          <w:u w:color="000000"/>
        </w:rPr>
      </w:pPr>
      <w:r>
        <w:rPr>
          <w:u w:color="000000"/>
        </w:rPr>
        <w:t>W2c: Transfer to homeschool</w:t>
      </w:r>
    </w:p>
    <w:p w14:paraId="72ED612D" w14:textId="77777777" w:rsidR="00585BA1" w:rsidRDefault="00585BA1" w:rsidP="00585BA1">
      <w:pPr>
        <w:pStyle w:val="BodyText"/>
        <w:numPr>
          <w:ilvl w:val="0"/>
          <w:numId w:val="21"/>
        </w:numPr>
        <w:ind w:right="126"/>
        <w:rPr>
          <w:u w:color="000000"/>
        </w:rPr>
      </w:pPr>
      <w:r>
        <w:rPr>
          <w:u w:color="000000"/>
        </w:rPr>
        <w:t>W2d: Move out of state</w:t>
      </w:r>
    </w:p>
    <w:p w14:paraId="17B600B9" w14:textId="77777777" w:rsidR="00585BA1" w:rsidRDefault="00585BA1" w:rsidP="00585BA1">
      <w:pPr>
        <w:pStyle w:val="BodyText"/>
        <w:numPr>
          <w:ilvl w:val="0"/>
          <w:numId w:val="21"/>
        </w:numPr>
        <w:ind w:right="126"/>
        <w:rPr>
          <w:u w:color="000000"/>
        </w:rPr>
      </w:pPr>
      <w:r>
        <w:rPr>
          <w:u w:color="000000"/>
        </w:rPr>
        <w:t>W2e: Move out of country</w:t>
      </w:r>
    </w:p>
    <w:p w14:paraId="3C4678F9" w14:textId="77777777" w:rsidR="00585BA1" w:rsidRDefault="00585BA1" w:rsidP="00585BA1">
      <w:pPr>
        <w:pStyle w:val="BodyText"/>
        <w:numPr>
          <w:ilvl w:val="0"/>
          <w:numId w:val="21"/>
        </w:numPr>
        <w:ind w:right="126"/>
        <w:rPr>
          <w:u w:color="000000"/>
        </w:rPr>
      </w:pPr>
      <w:r>
        <w:rPr>
          <w:u w:color="000000"/>
        </w:rPr>
        <w:t>W3a5: Withdrawn: Mental or psychological condition</w:t>
      </w:r>
    </w:p>
    <w:p w14:paraId="769BB209" w14:textId="77777777" w:rsidR="00585BA1" w:rsidRDefault="00585BA1" w:rsidP="00585BA1">
      <w:pPr>
        <w:pStyle w:val="BodyText"/>
        <w:numPr>
          <w:ilvl w:val="0"/>
          <w:numId w:val="21"/>
        </w:numPr>
        <w:ind w:right="126"/>
        <w:rPr>
          <w:u w:color="000000"/>
        </w:rPr>
      </w:pPr>
      <w:r>
        <w:rPr>
          <w:u w:color="000000"/>
        </w:rPr>
        <w:t>W3c3: Incarceration</w:t>
      </w:r>
    </w:p>
    <w:p w14:paraId="2FE7EDD5" w14:textId="33BEE1A4" w:rsidR="00417F8A" w:rsidRPr="00417F8A" w:rsidRDefault="00585BA1" w:rsidP="00417F8A">
      <w:pPr>
        <w:pStyle w:val="BodyText"/>
        <w:numPr>
          <w:ilvl w:val="0"/>
          <w:numId w:val="21"/>
        </w:numPr>
        <w:ind w:right="126"/>
        <w:rPr>
          <w:u w:color="000000"/>
        </w:rPr>
      </w:pPr>
      <w:r>
        <w:rPr>
          <w:u w:color="000000"/>
        </w:rPr>
        <w:t>W4a: Deceased</w:t>
      </w:r>
    </w:p>
    <w:p w14:paraId="6F9BC7BD" w14:textId="20809014" w:rsidR="00417F8A" w:rsidRDefault="00417F8A" w:rsidP="00417F8A">
      <w:pPr>
        <w:pStyle w:val="BodyText"/>
        <w:ind w:right="126"/>
        <w:rPr>
          <w:u w:color="000000"/>
        </w:rPr>
      </w:pPr>
      <w:r>
        <w:rPr>
          <w:u w:color="000000"/>
        </w:rPr>
        <w:t xml:space="preserve">At the time this document was developed, the Nevada Department of Education had shared a draft of their own alternative accountability framework with </w:t>
      </w:r>
      <w:r w:rsidR="0039329A">
        <w:rPr>
          <w:u w:color="000000"/>
        </w:rPr>
        <w:t>B</w:t>
      </w:r>
      <w:r>
        <w:rPr>
          <w:u w:color="000000"/>
        </w:rPr>
        <w:t>eacon Academy. This metric overlaps significantly with the graduation index</w:t>
      </w:r>
      <w:r w:rsidR="0008785D">
        <w:rPr>
          <w:u w:color="000000"/>
        </w:rPr>
        <w:t xml:space="preserve"> found in that draft, with respect to</w:t>
      </w:r>
      <w:r>
        <w:rPr>
          <w:u w:color="000000"/>
        </w:rPr>
        <w:t xml:space="preserve"> the types of transitions that receive points </w:t>
      </w:r>
      <w:r w:rsidR="0008785D">
        <w:rPr>
          <w:u w:color="000000"/>
        </w:rPr>
        <w:t xml:space="preserve">(positive transitions) </w:t>
      </w:r>
      <w:r>
        <w:rPr>
          <w:u w:color="000000"/>
        </w:rPr>
        <w:t>and the types of transitions that are left out of the index calc</w:t>
      </w:r>
      <w:r w:rsidR="0008785D">
        <w:rPr>
          <w:u w:color="000000"/>
        </w:rPr>
        <w:t xml:space="preserve">ulations altogether (neutral transitions), present in the draft framework. Beacon will continue to follow the </w:t>
      </w:r>
      <w:r w:rsidR="00716B8D">
        <w:rPr>
          <w:u w:color="000000"/>
        </w:rPr>
        <w:t>Department with respect to exit codes and their assignment to successful, non-successful, or neutral</w:t>
      </w:r>
      <w:r w:rsidR="0008785D">
        <w:rPr>
          <w:u w:color="000000"/>
        </w:rPr>
        <w:t xml:space="preserve"> </w:t>
      </w:r>
      <w:r w:rsidR="00716B8D">
        <w:rPr>
          <w:u w:color="000000"/>
        </w:rPr>
        <w:t>transitions.</w:t>
      </w:r>
    </w:p>
    <w:p w14:paraId="0B0CFC83" w14:textId="77777777" w:rsidR="00177D95" w:rsidRDefault="00177D95" w:rsidP="00417F8A">
      <w:pPr>
        <w:pStyle w:val="BodyText"/>
        <w:ind w:right="126"/>
        <w:rPr>
          <w:u w:color="000000"/>
        </w:rPr>
      </w:pPr>
    </w:p>
    <w:p w14:paraId="0C3FDFDF" w14:textId="77777777" w:rsidR="00177D95" w:rsidRDefault="00177D95" w:rsidP="00417F8A">
      <w:pPr>
        <w:pStyle w:val="BodyText"/>
        <w:ind w:right="126"/>
        <w:rPr>
          <w:u w:color="000000"/>
        </w:rPr>
      </w:pPr>
    </w:p>
    <w:p w14:paraId="097C1CEC" w14:textId="77777777" w:rsidR="00177D95" w:rsidRDefault="00177D95" w:rsidP="00417F8A">
      <w:pPr>
        <w:pStyle w:val="BodyText"/>
        <w:ind w:right="126"/>
        <w:rPr>
          <w:u w:color="000000"/>
        </w:rPr>
      </w:pPr>
    </w:p>
    <w:p w14:paraId="6D967458" w14:textId="77777777" w:rsidR="00585BA1" w:rsidRDefault="00D56DB3" w:rsidP="00D56DB3">
      <w:pPr>
        <w:pStyle w:val="Heading2"/>
        <w:rPr>
          <w:u w:color="000000"/>
        </w:rPr>
      </w:pPr>
      <w:bookmarkStart w:id="41" w:name="_Toc474843253"/>
      <w:bookmarkStart w:id="42" w:name="_Toc474940151"/>
      <w:r>
        <w:rPr>
          <w:u w:color="000000"/>
        </w:rPr>
        <w:lastRenderedPageBreak/>
        <w:t>Computation of the Metric</w:t>
      </w:r>
      <w:bookmarkEnd w:id="41"/>
      <w:bookmarkEnd w:id="42"/>
    </w:p>
    <w:p w14:paraId="3FFA4AF5" w14:textId="77777777" w:rsidR="00D56DB3" w:rsidRDefault="00D56DB3" w:rsidP="00D56DB3">
      <w:pPr>
        <w:pStyle w:val="Heading3"/>
        <w:rPr>
          <w:u w:color="000000"/>
        </w:rPr>
      </w:pPr>
      <w:bookmarkStart w:id="43" w:name="_Toc474843254"/>
      <w:bookmarkStart w:id="44" w:name="_Toc474940152"/>
      <w:r>
        <w:rPr>
          <w:u w:color="000000"/>
        </w:rPr>
        <w:t>Numerator</w:t>
      </w:r>
      <w:bookmarkEnd w:id="43"/>
      <w:bookmarkEnd w:id="44"/>
    </w:p>
    <w:p w14:paraId="001A5D91" w14:textId="77777777" w:rsidR="00D56DB3" w:rsidRDefault="00D56DB3" w:rsidP="00D56DB3">
      <w:pPr>
        <w:jc w:val="center"/>
      </w:pPr>
      <w:r>
        <w:t>All exiting students from the current year with exit codes that are included in the Successful transition list</w:t>
      </w:r>
    </w:p>
    <w:p w14:paraId="0E843EDF" w14:textId="77777777" w:rsidR="00D56DB3" w:rsidRDefault="00D56DB3" w:rsidP="00D56DB3">
      <w:pPr>
        <w:pStyle w:val="Heading3"/>
      </w:pPr>
      <w:bookmarkStart w:id="45" w:name="_Toc474843255"/>
      <w:bookmarkStart w:id="46" w:name="_Toc474940153"/>
      <w:r>
        <w:t>Denominator</w:t>
      </w:r>
      <w:bookmarkEnd w:id="45"/>
      <w:bookmarkEnd w:id="46"/>
    </w:p>
    <w:p w14:paraId="026CB786" w14:textId="77777777" w:rsidR="00D56DB3" w:rsidRDefault="00D56DB3" w:rsidP="00D56DB3">
      <w:pPr>
        <w:jc w:val="center"/>
      </w:pPr>
      <w:r>
        <w:t>All exiting students with successful transition exit codes</w:t>
      </w:r>
    </w:p>
    <w:p w14:paraId="1FC94E9A" w14:textId="77777777" w:rsidR="00D56DB3" w:rsidRDefault="00D56DB3" w:rsidP="00D56DB3">
      <w:pPr>
        <w:jc w:val="center"/>
      </w:pPr>
      <w:r>
        <w:t>PLUS</w:t>
      </w:r>
    </w:p>
    <w:p w14:paraId="08D93B74" w14:textId="77777777" w:rsidR="00D56DB3" w:rsidRDefault="00D56DB3" w:rsidP="00FE763A">
      <w:pPr>
        <w:jc w:val="center"/>
      </w:pPr>
      <w:r>
        <w:t>All exiting students with non-successful transition exit codes</w:t>
      </w:r>
    </w:p>
    <w:p w14:paraId="10CA9511" w14:textId="77777777" w:rsidR="007B3A8A" w:rsidRPr="00FE763A" w:rsidRDefault="007B3A8A" w:rsidP="00FE763A">
      <w:pPr>
        <w:jc w:val="center"/>
      </w:pPr>
    </w:p>
    <w:p w14:paraId="46C566AF" w14:textId="77777777" w:rsidR="00221BAE" w:rsidRPr="00221BAE" w:rsidRDefault="00D56DB3" w:rsidP="00221BAE">
      <w:pPr>
        <w:pStyle w:val="Heading2"/>
        <w:rPr>
          <w:rFonts w:eastAsia="Calibri"/>
        </w:rPr>
      </w:pPr>
      <w:bookmarkStart w:id="47" w:name="_Toc474843256"/>
      <w:bookmarkStart w:id="48" w:name="_Toc474940154"/>
      <w:r>
        <w:rPr>
          <w:rFonts w:eastAsia="Calibri"/>
        </w:rPr>
        <w:t>Exempted students</w:t>
      </w:r>
      <w:bookmarkEnd w:id="47"/>
      <w:bookmarkEnd w:id="48"/>
    </w:p>
    <w:p w14:paraId="1E011DEE" w14:textId="77777777" w:rsidR="00F7730D" w:rsidRDefault="00D56DB3" w:rsidP="00F7730D">
      <w:pPr>
        <w:pStyle w:val="ListParagraph"/>
        <w:numPr>
          <w:ilvl w:val="0"/>
          <w:numId w:val="11"/>
        </w:numPr>
        <w:rPr>
          <w:rFonts w:ascii="Calibri" w:eastAsia="Calibri" w:hAnsi="Calibri" w:cs="Calibri"/>
          <w:sz w:val="22"/>
          <w:szCs w:val="22"/>
        </w:rPr>
      </w:pPr>
      <w:r>
        <w:rPr>
          <w:rFonts w:ascii="Calibri" w:eastAsia="Calibri" w:hAnsi="Calibri" w:cs="Calibri"/>
          <w:sz w:val="22"/>
          <w:szCs w:val="22"/>
        </w:rPr>
        <w:t>Students that exit with codes included in the neutral transition list</w:t>
      </w:r>
    </w:p>
    <w:p w14:paraId="2BE6073B" w14:textId="77777777" w:rsidR="0012753F" w:rsidRDefault="0012753F" w:rsidP="0012753F">
      <w:pPr>
        <w:pStyle w:val="ListParagraph"/>
        <w:numPr>
          <w:ilvl w:val="0"/>
          <w:numId w:val="11"/>
        </w:numPr>
        <w:tabs>
          <w:tab w:val="left" w:pos="841"/>
        </w:tabs>
        <w:spacing w:line="279" w:lineRule="exact"/>
        <w:ind w:right="126"/>
        <w:rPr>
          <w:rFonts w:ascii="Calibri" w:eastAsia="Calibri" w:hAnsi="Calibri" w:cs="Calibri"/>
        </w:rPr>
      </w:pPr>
      <w:r>
        <w:rPr>
          <w:rFonts w:ascii="Calibri"/>
          <w:sz w:val="22"/>
        </w:rPr>
        <w:t>Students enrolled at the school for fewer than 91 consecutive days</w:t>
      </w:r>
    </w:p>
    <w:p w14:paraId="2E725630" w14:textId="251E0C10" w:rsidR="00B0199C" w:rsidRPr="00CC0170" w:rsidRDefault="00F7730D" w:rsidP="00B0199C">
      <w:pPr>
        <w:pStyle w:val="ListParagraph"/>
        <w:numPr>
          <w:ilvl w:val="0"/>
          <w:numId w:val="11"/>
        </w:numPr>
        <w:rPr>
          <w:rFonts w:ascii="Calibri" w:eastAsia="Calibri" w:hAnsi="Calibri" w:cs="Calibri"/>
          <w:sz w:val="22"/>
          <w:szCs w:val="22"/>
        </w:rPr>
      </w:pPr>
      <w:r>
        <w:rPr>
          <w:rFonts w:ascii="Calibri" w:eastAsia="Calibri" w:hAnsi="Calibri" w:cs="Calibri"/>
          <w:sz w:val="22"/>
          <w:szCs w:val="22"/>
        </w:rPr>
        <w:t>Non-exiting students/continued enrollees</w:t>
      </w:r>
    </w:p>
    <w:p w14:paraId="736145AD" w14:textId="77777777" w:rsidR="00D37EC2" w:rsidRDefault="00132F56" w:rsidP="00D37EC2">
      <w:pPr>
        <w:pStyle w:val="Heading2"/>
        <w:rPr>
          <w:rFonts w:eastAsia="Calibri"/>
        </w:rPr>
      </w:pPr>
      <w:bookmarkStart w:id="49" w:name="_Toc474843257"/>
      <w:bookmarkStart w:id="50" w:name="_Toc474940155"/>
      <w:r>
        <w:rPr>
          <w:rFonts w:eastAsia="Calibri"/>
        </w:rPr>
        <w:t>Ratings and Targets</w:t>
      </w:r>
      <w:bookmarkEnd w:id="49"/>
      <w:bookmarkEnd w:id="50"/>
    </w:p>
    <w:p w14:paraId="75BB00AB" w14:textId="77777777" w:rsidR="00CB40D5" w:rsidRPr="007B3A8A" w:rsidRDefault="00132F56" w:rsidP="00171922">
      <w:pPr>
        <w:rPr>
          <w:rFonts w:ascii="Calibri" w:eastAsia="Calibri" w:hAnsi="Calibri" w:cs="Calibri"/>
          <w:sz w:val="22"/>
          <w:szCs w:val="22"/>
        </w:rPr>
      </w:pPr>
      <w:r w:rsidRPr="007B3A8A">
        <w:rPr>
          <w:rFonts w:ascii="Calibri" w:eastAsia="Calibri" w:hAnsi="Calibri" w:cs="Calibri"/>
          <w:sz w:val="22"/>
          <w:szCs w:val="22"/>
        </w:rPr>
        <w:t>The table below outlines that targets for the proportion of exiting students that have successful transitions that falls under each rating.</w:t>
      </w:r>
    </w:p>
    <w:tbl>
      <w:tblPr>
        <w:tblStyle w:val="TableGrid"/>
        <w:tblW w:w="5000" w:type="pct"/>
        <w:jc w:val="center"/>
        <w:tblLook w:val="04A0" w:firstRow="1" w:lastRow="0" w:firstColumn="1" w:lastColumn="0" w:noHBand="0" w:noVBand="1"/>
      </w:tblPr>
      <w:tblGrid>
        <w:gridCol w:w="1453"/>
        <w:gridCol w:w="6740"/>
        <w:gridCol w:w="1603"/>
      </w:tblGrid>
      <w:tr w:rsidR="0019394E" w:rsidRPr="00D84E39" w14:paraId="57316E85" w14:textId="77777777" w:rsidTr="0019394E">
        <w:trPr>
          <w:trHeight w:val="660"/>
          <w:jc w:val="center"/>
        </w:trPr>
        <w:tc>
          <w:tcPr>
            <w:tcW w:w="742" w:type="pct"/>
            <w:vAlign w:val="bottom"/>
            <w:hideMark/>
          </w:tcPr>
          <w:p w14:paraId="2215A605" w14:textId="77777777" w:rsidR="0019394E" w:rsidRPr="00D84E39" w:rsidRDefault="0019394E" w:rsidP="0019394E">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40" w:type="pct"/>
            <w:vAlign w:val="bottom"/>
            <w:hideMark/>
          </w:tcPr>
          <w:p w14:paraId="338ED812" w14:textId="77777777" w:rsidR="0019394E" w:rsidRPr="00D84E39" w:rsidRDefault="0019394E" w:rsidP="0019394E">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818" w:type="pct"/>
            <w:vAlign w:val="bottom"/>
          </w:tcPr>
          <w:p w14:paraId="0A04049B" w14:textId="77777777" w:rsidR="0019394E" w:rsidRDefault="0019394E" w:rsidP="0019394E">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19394E" w:rsidRPr="00D84E39" w14:paraId="0A6C0787" w14:textId="77777777" w:rsidTr="0019394E">
        <w:trPr>
          <w:trHeight w:val="600"/>
          <w:jc w:val="center"/>
        </w:trPr>
        <w:tc>
          <w:tcPr>
            <w:tcW w:w="742" w:type="pct"/>
            <w:shd w:val="clear" w:color="auto" w:fill="8064A2" w:themeFill="accent4"/>
            <w:noWrap/>
            <w:vAlign w:val="bottom"/>
          </w:tcPr>
          <w:p w14:paraId="1E69D7B5"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Exceptional</w:t>
            </w:r>
          </w:p>
        </w:tc>
        <w:tc>
          <w:tcPr>
            <w:tcW w:w="3440" w:type="pct"/>
            <w:vAlign w:val="bottom"/>
          </w:tcPr>
          <w:p w14:paraId="5D850A1A" w14:textId="77777777" w:rsidR="0019394E" w:rsidRDefault="0019394E" w:rsidP="0019394E">
            <w:pPr>
              <w:rPr>
                <w:rFonts w:ascii="Calibri" w:eastAsia="Times New Roman" w:hAnsi="Calibri" w:cs="Times New Roman"/>
              </w:rPr>
            </w:pPr>
            <w:r>
              <w:rPr>
                <w:rFonts w:ascii="Calibri" w:eastAsia="Times New Roman" w:hAnsi="Calibri" w:cs="Times New Roman"/>
              </w:rPr>
              <w:t>90-100 percent of students that exit the school, each year, will transition successfully through graduation, completion, or school transfer</w:t>
            </w:r>
          </w:p>
        </w:tc>
        <w:tc>
          <w:tcPr>
            <w:tcW w:w="818" w:type="pct"/>
            <w:vAlign w:val="bottom"/>
          </w:tcPr>
          <w:p w14:paraId="53E16EFF"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97.5</w:t>
            </w:r>
          </w:p>
        </w:tc>
      </w:tr>
      <w:tr w:rsidR="0019394E" w:rsidRPr="00D84E39" w14:paraId="722F5555" w14:textId="77777777" w:rsidTr="0019394E">
        <w:trPr>
          <w:trHeight w:val="600"/>
          <w:jc w:val="center"/>
        </w:trPr>
        <w:tc>
          <w:tcPr>
            <w:tcW w:w="742" w:type="pct"/>
            <w:shd w:val="clear" w:color="auto" w:fill="0070C0"/>
            <w:noWrap/>
            <w:vAlign w:val="bottom"/>
            <w:hideMark/>
          </w:tcPr>
          <w:p w14:paraId="6D69862E" w14:textId="77777777" w:rsidR="0019394E" w:rsidRPr="001D740C" w:rsidRDefault="0019394E" w:rsidP="0019394E">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40" w:type="pct"/>
            <w:vAlign w:val="bottom"/>
          </w:tcPr>
          <w:p w14:paraId="044D7F23"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Between 80-89.9 percent of students that exit the school, each year, will transition successfully through graduation, completion, or school transfer</w:t>
            </w:r>
          </w:p>
        </w:tc>
        <w:tc>
          <w:tcPr>
            <w:tcW w:w="818" w:type="pct"/>
            <w:vAlign w:val="bottom"/>
          </w:tcPr>
          <w:p w14:paraId="2C130EE6"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85.0</w:t>
            </w:r>
          </w:p>
        </w:tc>
      </w:tr>
      <w:tr w:rsidR="0019394E" w:rsidRPr="00D84E39" w14:paraId="339D051E" w14:textId="77777777" w:rsidTr="0019394E">
        <w:trPr>
          <w:trHeight w:val="600"/>
          <w:jc w:val="center"/>
        </w:trPr>
        <w:tc>
          <w:tcPr>
            <w:tcW w:w="742" w:type="pct"/>
            <w:shd w:val="clear" w:color="auto" w:fill="9BBB59" w:themeFill="accent3"/>
            <w:noWrap/>
            <w:vAlign w:val="bottom"/>
            <w:hideMark/>
          </w:tcPr>
          <w:p w14:paraId="1CE99E89"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Adequate</w:t>
            </w:r>
          </w:p>
        </w:tc>
        <w:tc>
          <w:tcPr>
            <w:tcW w:w="3440" w:type="pct"/>
            <w:vAlign w:val="bottom"/>
          </w:tcPr>
          <w:p w14:paraId="49739C99"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Between 70-79.9 percent of students that exit the school, each year, will transition successfully through graduation, completion, or school transfer</w:t>
            </w:r>
          </w:p>
        </w:tc>
        <w:tc>
          <w:tcPr>
            <w:tcW w:w="818" w:type="pct"/>
            <w:vAlign w:val="bottom"/>
          </w:tcPr>
          <w:p w14:paraId="734B8793"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62.5</w:t>
            </w:r>
          </w:p>
        </w:tc>
      </w:tr>
      <w:tr w:rsidR="0019394E" w:rsidRPr="00D84E39" w14:paraId="7921BE05" w14:textId="77777777" w:rsidTr="0019394E">
        <w:trPr>
          <w:trHeight w:val="600"/>
          <w:jc w:val="center"/>
        </w:trPr>
        <w:tc>
          <w:tcPr>
            <w:tcW w:w="742" w:type="pct"/>
            <w:shd w:val="clear" w:color="auto" w:fill="FFFF00"/>
            <w:noWrap/>
            <w:vAlign w:val="bottom"/>
          </w:tcPr>
          <w:p w14:paraId="29DA2D56" w14:textId="77777777" w:rsidR="0019394E" w:rsidRDefault="0019394E" w:rsidP="0019394E">
            <w:pPr>
              <w:jc w:val="center"/>
              <w:rPr>
                <w:rFonts w:ascii="Calibri" w:eastAsia="Times New Roman" w:hAnsi="Calibri" w:cs="Times New Roman"/>
                <w:b/>
                <w:bCs/>
              </w:rPr>
            </w:pPr>
            <w:r>
              <w:rPr>
                <w:rFonts w:ascii="Calibri" w:eastAsia="Times New Roman" w:hAnsi="Calibri" w:cs="Times New Roman"/>
                <w:b/>
                <w:bCs/>
              </w:rPr>
              <w:t>Approaches</w:t>
            </w:r>
          </w:p>
        </w:tc>
        <w:tc>
          <w:tcPr>
            <w:tcW w:w="3440" w:type="pct"/>
            <w:vAlign w:val="bottom"/>
          </w:tcPr>
          <w:p w14:paraId="320A0320" w14:textId="77777777" w:rsidR="0019394E" w:rsidRDefault="0019394E" w:rsidP="0019394E">
            <w:pPr>
              <w:rPr>
                <w:rFonts w:ascii="Calibri" w:eastAsia="Times New Roman" w:hAnsi="Calibri" w:cs="Times New Roman"/>
              </w:rPr>
            </w:pPr>
            <w:r>
              <w:rPr>
                <w:rFonts w:ascii="Calibri" w:eastAsia="Times New Roman" w:hAnsi="Calibri" w:cs="Times New Roman"/>
              </w:rPr>
              <w:t>Between 50-69.9 percent of students that exit the school, each year, will transition successfully through graduation, completion, or school transfer</w:t>
            </w:r>
          </w:p>
        </w:tc>
        <w:tc>
          <w:tcPr>
            <w:tcW w:w="818" w:type="pct"/>
            <w:vAlign w:val="bottom"/>
          </w:tcPr>
          <w:p w14:paraId="4526B605"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37.5</w:t>
            </w:r>
          </w:p>
        </w:tc>
      </w:tr>
      <w:tr w:rsidR="0019394E" w:rsidRPr="00D84E39" w14:paraId="406DC31C" w14:textId="77777777" w:rsidTr="0019394E">
        <w:trPr>
          <w:trHeight w:val="600"/>
          <w:jc w:val="center"/>
        </w:trPr>
        <w:tc>
          <w:tcPr>
            <w:tcW w:w="742" w:type="pct"/>
            <w:shd w:val="clear" w:color="auto" w:fill="FFC000"/>
            <w:noWrap/>
            <w:vAlign w:val="bottom"/>
          </w:tcPr>
          <w:p w14:paraId="1E83CEB6"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Unsatisfactory</w:t>
            </w:r>
          </w:p>
        </w:tc>
        <w:tc>
          <w:tcPr>
            <w:tcW w:w="3440" w:type="pct"/>
            <w:vAlign w:val="bottom"/>
          </w:tcPr>
          <w:p w14:paraId="419DF090" w14:textId="77777777" w:rsidR="0019394E" w:rsidRDefault="0019394E" w:rsidP="0019394E">
            <w:pPr>
              <w:rPr>
                <w:rFonts w:ascii="Calibri" w:eastAsia="Times New Roman" w:hAnsi="Calibri" w:cs="Times New Roman"/>
              </w:rPr>
            </w:pPr>
            <w:r>
              <w:rPr>
                <w:rFonts w:ascii="Calibri" w:eastAsia="Times New Roman" w:hAnsi="Calibri" w:cs="Times New Roman"/>
              </w:rPr>
              <w:t>Between 30-49.9 percent of students that exit the school, each year, will transition successfully through graduation, completion, or school transfer</w:t>
            </w:r>
          </w:p>
        </w:tc>
        <w:tc>
          <w:tcPr>
            <w:tcW w:w="818" w:type="pct"/>
            <w:vAlign w:val="bottom"/>
          </w:tcPr>
          <w:p w14:paraId="632292FC"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15.0</w:t>
            </w:r>
          </w:p>
        </w:tc>
      </w:tr>
      <w:tr w:rsidR="0019394E" w:rsidRPr="00D84E39" w14:paraId="528A120D" w14:textId="77777777" w:rsidTr="0019394E">
        <w:trPr>
          <w:trHeight w:val="600"/>
          <w:jc w:val="center"/>
        </w:trPr>
        <w:tc>
          <w:tcPr>
            <w:tcW w:w="742" w:type="pct"/>
            <w:shd w:val="clear" w:color="auto" w:fill="C0504D" w:themeFill="accent2"/>
            <w:noWrap/>
            <w:vAlign w:val="bottom"/>
            <w:hideMark/>
          </w:tcPr>
          <w:p w14:paraId="4DE2E2C9" w14:textId="77777777" w:rsidR="0019394E" w:rsidRPr="001D740C" w:rsidRDefault="0019394E" w:rsidP="0019394E">
            <w:pPr>
              <w:jc w:val="center"/>
              <w:rPr>
                <w:rFonts w:ascii="Calibri" w:eastAsia="Times New Roman" w:hAnsi="Calibri" w:cs="Times New Roman"/>
                <w:b/>
                <w:bCs/>
              </w:rPr>
            </w:pPr>
            <w:r>
              <w:rPr>
                <w:rFonts w:ascii="Calibri" w:eastAsia="Times New Roman" w:hAnsi="Calibri" w:cs="Times New Roman"/>
                <w:b/>
                <w:bCs/>
              </w:rPr>
              <w:t>Critical</w:t>
            </w:r>
          </w:p>
        </w:tc>
        <w:tc>
          <w:tcPr>
            <w:tcW w:w="3440" w:type="pct"/>
            <w:vAlign w:val="bottom"/>
          </w:tcPr>
          <w:p w14:paraId="14231C27" w14:textId="77777777" w:rsidR="0019394E" w:rsidRPr="00D84E39" w:rsidRDefault="0019394E" w:rsidP="0019394E">
            <w:pPr>
              <w:rPr>
                <w:rFonts w:ascii="Calibri" w:eastAsia="Times New Roman" w:hAnsi="Calibri" w:cs="Times New Roman"/>
              </w:rPr>
            </w:pPr>
            <w:r>
              <w:rPr>
                <w:rFonts w:ascii="Calibri" w:eastAsia="Times New Roman" w:hAnsi="Calibri" w:cs="Times New Roman"/>
              </w:rPr>
              <w:t>Fewer than 30 percent of students that exit the school, each year, will transition successfully through graduation, completion, or school transfer</w:t>
            </w:r>
          </w:p>
        </w:tc>
        <w:tc>
          <w:tcPr>
            <w:tcW w:w="818" w:type="pct"/>
            <w:vAlign w:val="bottom"/>
          </w:tcPr>
          <w:p w14:paraId="21FBC38F" w14:textId="77777777" w:rsidR="0019394E" w:rsidRDefault="0019394E" w:rsidP="0019394E">
            <w:pPr>
              <w:jc w:val="center"/>
              <w:rPr>
                <w:rFonts w:ascii="Calibri" w:eastAsia="Times New Roman" w:hAnsi="Calibri" w:cs="Times New Roman"/>
              </w:rPr>
            </w:pPr>
            <w:r>
              <w:rPr>
                <w:rFonts w:ascii="Calibri" w:eastAsia="Times New Roman" w:hAnsi="Calibri" w:cs="Times New Roman"/>
              </w:rPr>
              <w:t>2.5</w:t>
            </w:r>
          </w:p>
        </w:tc>
      </w:tr>
    </w:tbl>
    <w:p w14:paraId="15E3530B" w14:textId="77777777" w:rsidR="00BC7098" w:rsidRDefault="00BC7098" w:rsidP="00171922">
      <w:pPr>
        <w:rPr>
          <w:rFonts w:ascii="Calibri" w:eastAsia="Calibri" w:hAnsi="Calibri" w:cs="Calibri"/>
          <w:sz w:val="24"/>
          <w:szCs w:val="24"/>
        </w:rPr>
      </w:pPr>
    </w:p>
    <w:p w14:paraId="796E31F8" w14:textId="77777777" w:rsidR="00177D95" w:rsidRDefault="00177D95" w:rsidP="00171922">
      <w:pPr>
        <w:rPr>
          <w:rFonts w:ascii="Calibri" w:eastAsia="Calibri" w:hAnsi="Calibri" w:cs="Calibri"/>
          <w:sz w:val="24"/>
          <w:szCs w:val="24"/>
        </w:rPr>
      </w:pPr>
    </w:p>
    <w:p w14:paraId="0CC199A2" w14:textId="77777777" w:rsidR="00CC0170" w:rsidRDefault="00CC0170" w:rsidP="00171922">
      <w:pPr>
        <w:rPr>
          <w:rFonts w:ascii="Calibri" w:eastAsia="Calibri" w:hAnsi="Calibri" w:cs="Calibri"/>
          <w:sz w:val="24"/>
          <w:szCs w:val="24"/>
        </w:rPr>
      </w:pPr>
    </w:p>
    <w:p w14:paraId="4CF58A10" w14:textId="77777777" w:rsidR="00FE763A" w:rsidRDefault="003A13D4" w:rsidP="003A13D4">
      <w:pPr>
        <w:pStyle w:val="Heading1"/>
        <w:rPr>
          <w:rFonts w:eastAsia="Calibri"/>
        </w:rPr>
      </w:pPr>
      <w:bookmarkStart w:id="51" w:name="_Toc474940156"/>
      <w:r>
        <w:rPr>
          <w:rFonts w:eastAsia="Calibri"/>
        </w:rPr>
        <w:lastRenderedPageBreak/>
        <w:t>College &amp; Career Readiness Measure 3.c.</w:t>
      </w:r>
      <w:r w:rsidR="007510C2">
        <w:rPr>
          <w:rFonts w:eastAsia="Calibri"/>
        </w:rPr>
        <w:t xml:space="preserve"> Cohort</w:t>
      </w:r>
      <w:r>
        <w:rPr>
          <w:rFonts w:eastAsia="Calibri"/>
        </w:rPr>
        <w:t xml:space="preserve"> Graduation</w:t>
      </w:r>
      <w:bookmarkEnd w:id="51"/>
    </w:p>
    <w:p w14:paraId="02BE6314" w14:textId="77777777" w:rsidR="00FE763A" w:rsidRPr="00052541" w:rsidRDefault="003A13D4" w:rsidP="00171922">
      <w:pPr>
        <w:rPr>
          <w:rFonts w:ascii="Calibri" w:eastAsia="Calibri" w:hAnsi="Calibri" w:cs="Calibri"/>
          <w:sz w:val="22"/>
          <w:szCs w:val="22"/>
        </w:rPr>
      </w:pPr>
      <w:r w:rsidRPr="00052541">
        <w:rPr>
          <w:rFonts w:ascii="Calibri" w:eastAsia="Calibri" w:hAnsi="Calibri" w:cs="Calibri"/>
          <w:sz w:val="22"/>
          <w:szCs w:val="22"/>
          <w:u w:val="single"/>
        </w:rPr>
        <w:t>Metric</w:t>
      </w:r>
      <w:r w:rsidRPr="00052541">
        <w:rPr>
          <w:rFonts w:ascii="Calibri" w:eastAsia="Calibri" w:hAnsi="Calibri" w:cs="Calibri"/>
          <w:sz w:val="22"/>
          <w:szCs w:val="22"/>
        </w:rPr>
        <w:t>: 4-year adjusted co</w:t>
      </w:r>
      <w:r w:rsidR="007510C2" w:rsidRPr="00052541">
        <w:rPr>
          <w:rFonts w:ascii="Calibri" w:eastAsia="Calibri" w:hAnsi="Calibri" w:cs="Calibri"/>
          <w:sz w:val="22"/>
          <w:szCs w:val="22"/>
        </w:rPr>
        <w:t>hort graduation rate</w:t>
      </w:r>
    </w:p>
    <w:p w14:paraId="5CEBB2E2" w14:textId="75B8A19C" w:rsidR="00FE763A" w:rsidRPr="00052541" w:rsidRDefault="007510C2" w:rsidP="00171922">
      <w:pPr>
        <w:rPr>
          <w:rFonts w:ascii="Calibri" w:eastAsia="Calibri" w:hAnsi="Calibri" w:cs="Calibri"/>
          <w:sz w:val="22"/>
          <w:szCs w:val="22"/>
        </w:rPr>
      </w:pPr>
      <w:r w:rsidRPr="00052541">
        <w:rPr>
          <w:rFonts w:ascii="Calibri" w:eastAsia="Calibri" w:hAnsi="Calibri" w:cs="Calibri"/>
          <w:sz w:val="22"/>
          <w:szCs w:val="22"/>
        </w:rPr>
        <w:t xml:space="preserve">Data collected by Momentum Strategy &amp; Research from alternative schools from a number of states show that the average percent of </w:t>
      </w:r>
      <w:r w:rsidR="00052541">
        <w:rPr>
          <w:rFonts w:ascii="Calibri" w:eastAsia="Calibri" w:hAnsi="Calibri" w:cs="Calibri"/>
          <w:sz w:val="22"/>
          <w:szCs w:val="22"/>
        </w:rPr>
        <w:t xml:space="preserve">alternative </w:t>
      </w:r>
      <w:r w:rsidRPr="00052541">
        <w:rPr>
          <w:rFonts w:ascii="Calibri" w:eastAsia="Calibri" w:hAnsi="Calibri" w:cs="Calibri"/>
          <w:sz w:val="22"/>
          <w:szCs w:val="22"/>
        </w:rPr>
        <w:t xml:space="preserve">students to graduate with their 4-year cohort is </w:t>
      </w:r>
      <w:r w:rsidR="00052541">
        <w:rPr>
          <w:rFonts w:ascii="Calibri" w:eastAsia="Calibri" w:hAnsi="Calibri" w:cs="Calibri"/>
          <w:sz w:val="22"/>
          <w:szCs w:val="22"/>
        </w:rPr>
        <w:t xml:space="preserve">approximately </w:t>
      </w:r>
      <w:r w:rsidRPr="00052541">
        <w:rPr>
          <w:rFonts w:ascii="Calibri" w:eastAsia="Calibri" w:hAnsi="Calibri" w:cs="Calibri"/>
          <w:sz w:val="22"/>
          <w:szCs w:val="22"/>
        </w:rPr>
        <w:t>30 percent</w:t>
      </w:r>
      <w:r w:rsidR="00052541">
        <w:rPr>
          <w:rFonts w:ascii="Calibri" w:eastAsia="Calibri" w:hAnsi="Calibri" w:cs="Calibri"/>
          <w:sz w:val="22"/>
          <w:szCs w:val="22"/>
        </w:rPr>
        <w:t xml:space="preserve"> </w:t>
      </w:r>
      <w:r w:rsidR="00052541" w:rsidRPr="00052541">
        <w:rPr>
          <w:rFonts w:ascii="Calibri" w:eastAsia="Calibri" w:hAnsi="Calibri" w:cs="Calibri"/>
          <w:sz w:val="22"/>
          <w:szCs w:val="22"/>
        </w:rPr>
        <w:t>(see Attachment A)</w:t>
      </w:r>
      <w:r w:rsidRPr="00052541">
        <w:rPr>
          <w:rFonts w:ascii="Calibri" w:eastAsia="Calibri" w:hAnsi="Calibri" w:cs="Calibri"/>
          <w:sz w:val="22"/>
          <w:szCs w:val="22"/>
        </w:rPr>
        <w:t>. However, states differed in their respective averages and these within state averages tended to be stable over</w:t>
      </w:r>
      <w:r w:rsidR="00052541">
        <w:rPr>
          <w:rFonts w:ascii="Calibri" w:eastAsia="Calibri" w:hAnsi="Calibri" w:cs="Calibri"/>
          <w:sz w:val="22"/>
          <w:szCs w:val="22"/>
        </w:rPr>
        <w:t xml:space="preserve"> the</w:t>
      </w:r>
      <w:r w:rsidRPr="00052541">
        <w:rPr>
          <w:rFonts w:ascii="Calibri" w:eastAsia="Calibri" w:hAnsi="Calibri" w:cs="Calibri"/>
          <w:sz w:val="22"/>
          <w:szCs w:val="22"/>
        </w:rPr>
        <w:t xml:space="preserve"> two to three years</w:t>
      </w:r>
      <w:r w:rsidR="00052541">
        <w:rPr>
          <w:rFonts w:ascii="Calibri" w:eastAsia="Calibri" w:hAnsi="Calibri" w:cs="Calibri"/>
          <w:sz w:val="22"/>
          <w:szCs w:val="22"/>
        </w:rPr>
        <w:t xml:space="preserve"> of observed data</w:t>
      </w:r>
      <w:r w:rsidRPr="00052541">
        <w:rPr>
          <w:rFonts w:ascii="Calibri" w:eastAsia="Calibri" w:hAnsi="Calibri" w:cs="Calibri"/>
          <w:sz w:val="22"/>
          <w:szCs w:val="22"/>
        </w:rPr>
        <w:t>. Therefore, we recommend setting a tentative goal of graduating 30</w:t>
      </w:r>
      <w:r w:rsidR="00052541">
        <w:rPr>
          <w:rFonts w:ascii="Calibri" w:eastAsia="Calibri" w:hAnsi="Calibri" w:cs="Calibri"/>
          <w:sz w:val="22"/>
          <w:szCs w:val="22"/>
        </w:rPr>
        <w:t>% of the 4-year cohort students</w:t>
      </w:r>
      <w:r w:rsidRPr="00052541">
        <w:rPr>
          <w:rFonts w:ascii="Calibri" w:eastAsia="Calibri" w:hAnsi="Calibri" w:cs="Calibri"/>
          <w:sz w:val="22"/>
          <w:szCs w:val="22"/>
        </w:rPr>
        <w:t xml:space="preserve"> but not count the outcomes toward the accountability framework until there is a better set of local data to use for benchmark</w:t>
      </w:r>
      <w:r w:rsidR="00052541">
        <w:rPr>
          <w:rFonts w:ascii="Calibri" w:eastAsia="Calibri" w:hAnsi="Calibri" w:cs="Calibri"/>
          <w:sz w:val="22"/>
          <w:szCs w:val="22"/>
        </w:rPr>
        <w:t>ing and target setting purposes—as the Nevada alternative schools currently included in the analysis are those that were in place prior to the recently enacted alternative charter school legislation and include only schools that serve 100% special education and/or facility bound students.</w:t>
      </w:r>
    </w:p>
    <w:p w14:paraId="593A5FEB" w14:textId="30EFFC3F" w:rsidR="007510C2" w:rsidRDefault="007510C2" w:rsidP="007510C2">
      <w:pPr>
        <w:pStyle w:val="Heading1"/>
        <w:rPr>
          <w:rFonts w:eastAsia="Calibri"/>
        </w:rPr>
      </w:pPr>
      <w:bookmarkStart w:id="52" w:name="_Toc474940157"/>
      <w:r>
        <w:rPr>
          <w:rFonts w:eastAsia="Calibri"/>
        </w:rPr>
        <w:t xml:space="preserve">College &amp; Career Readiness Measure 3.d. </w:t>
      </w:r>
      <w:bookmarkEnd w:id="52"/>
      <w:r w:rsidR="0068490E">
        <w:rPr>
          <w:rFonts w:eastAsia="Calibri"/>
        </w:rPr>
        <w:t>CCR Assessments</w:t>
      </w:r>
    </w:p>
    <w:p w14:paraId="2F7EA6B8" w14:textId="77777777" w:rsidR="00FE763A" w:rsidRPr="00052541" w:rsidRDefault="007510C2" w:rsidP="00171922">
      <w:pPr>
        <w:rPr>
          <w:rFonts w:ascii="Calibri" w:eastAsia="Calibri" w:hAnsi="Calibri" w:cs="Calibri"/>
          <w:sz w:val="22"/>
          <w:szCs w:val="22"/>
        </w:rPr>
      </w:pPr>
      <w:r w:rsidRPr="00052541">
        <w:rPr>
          <w:rFonts w:ascii="Calibri" w:eastAsia="Calibri" w:hAnsi="Calibri" w:cs="Calibri"/>
          <w:sz w:val="22"/>
          <w:szCs w:val="22"/>
          <w:u w:val="single"/>
        </w:rPr>
        <w:t>Metric:</w:t>
      </w:r>
      <w:r w:rsidRPr="00052541">
        <w:rPr>
          <w:rFonts w:ascii="Calibri" w:eastAsia="Calibri" w:hAnsi="Calibri" w:cs="Calibri"/>
          <w:sz w:val="22"/>
          <w:szCs w:val="22"/>
        </w:rPr>
        <w:t xml:space="preserve"> Percent of eligible students to particip</w:t>
      </w:r>
      <w:r w:rsidR="00934AC7" w:rsidRPr="00052541">
        <w:rPr>
          <w:rFonts w:ascii="Calibri" w:eastAsia="Calibri" w:hAnsi="Calibri" w:cs="Calibri"/>
          <w:sz w:val="22"/>
          <w:szCs w:val="22"/>
        </w:rPr>
        <w:t>ate in college and career ready assessments (including ACT Aspire, ACT, and WorkKeys)</w:t>
      </w:r>
      <w:r w:rsidR="00B0199C" w:rsidRPr="00052541">
        <w:rPr>
          <w:rFonts w:ascii="Calibri" w:eastAsia="Calibri" w:hAnsi="Calibri" w:cs="Calibri"/>
          <w:sz w:val="22"/>
          <w:szCs w:val="22"/>
        </w:rPr>
        <w:t>,</w:t>
      </w:r>
      <w:r w:rsidRPr="00052541">
        <w:rPr>
          <w:rFonts w:ascii="Calibri" w:eastAsia="Calibri" w:hAnsi="Calibri" w:cs="Calibri"/>
          <w:sz w:val="22"/>
          <w:szCs w:val="22"/>
        </w:rPr>
        <w:t xml:space="preserve"> annually</w:t>
      </w:r>
    </w:p>
    <w:p w14:paraId="28CEAD59" w14:textId="77777777" w:rsidR="00934AC7" w:rsidRPr="00052541" w:rsidRDefault="007B3AF0" w:rsidP="00171922">
      <w:pPr>
        <w:rPr>
          <w:rFonts w:ascii="Calibri" w:eastAsia="Calibri" w:hAnsi="Calibri" w:cs="Calibri"/>
          <w:sz w:val="22"/>
          <w:szCs w:val="22"/>
        </w:rPr>
      </w:pPr>
      <w:r w:rsidRPr="00052541">
        <w:rPr>
          <w:rFonts w:ascii="Calibri" w:eastAsia="Calibri" w:hAnsi="Calibri" w:cs="Calibri"/>
          <w:sz w:val="22"/>
          <w:szCs w:val="22"/>
          <w:u w:val="single"/>
        </w:rPr>
        <w:t>Eligibility</w:t>
      </w:r>
      <w:r w:rsidRPr="00052541">
        <w:rPr>
          <w:rFonts w:ascii="Calibri" w:eastAsia="Calibri" w:hAnsi="Calibri" w:cs="Calibri"/>
          <w:sz w:val="22"/>
          <w:szCs w:val="22"/>
        </w:rPr>
        <w:t xml:space="preserve">: </w:t>
      </w:r>
      <w:r w:rsidR="00F326D0" w:rsidRPr="00052541">
        <w:rPr>
          <w:rFonts w:ascii="Calibri" w:eastAsia="Calibri" w:hAnsi="Calibri" w:cs="Calibri"/>
          <w:sz w:val="22"/>
          <w:szCs w:val="22"/>
        </w:rPr>
        <w:t>To ensure that students only take the assessment</w:t>
      </w:r>
      <w:r w:rsidR="00934AC7" w:rsidRPr="00052541">
        <w:rPr>
          <w:rFonts w:ascii="Calibri" w:eastAsia="Calibri" w:hAnsi="Calibri" w:cs="Calibri"/>
          <w:sz w:val="22"/>
          <w:szCs w:val="22"/>
        </w:rPr>
        <w:t>s</w:t>
      </w:r>
      <w:r w:rsidR="00F326D0" w:rsidRPr="00052541">
        <w:rPr>
          <w:rFonts w:ascii="Calibri" w:eastAsia="Calibri" w:hAnsi="Calibri" w:cs="Calibri"/>
          <w:sz w:val="22"/>
          <w:szCs w:val="22"/>
        </w:rPr>
        <w:t xml:space="preserve"> once they have had the opportunity to learn the requisite material, s</w:t>
      </w:r>
      <w:r w:rsidR="00934AC7" w:rsidRPr="00052541">
        <w:rPr>
          <w:rFonts w:ascii="Calibri" w:eastAsia="Calibri" w:hAnsi="Calibri" w:cs="Calibri"/>
          <w:sz w:val="22"/>
          <w:szCs w:val="22"/>
        </w:rPr>
        <w:t xml:space="preserve">tudent eligibility for the college and career ready assessments </w:t>
      </w:r>
      <w:r w:rsidRPr="00052541">
        <w:rPr>
          <w:rFonts w:ascii="Calibri" w:eastAsia="Calibri" w:hAnsi="Calibri" w:cs="Calibri"/>
          <w:sz w:val="22"/>
          <w:szCs w:val="22"/>
        </w:rPr>
        <w:t xml:space="preserve">will be determined by the number </w:t>
      </w:r>
      <w:r w:rsidR="00F326D0" w:rsidRPr="00052541">
        <w:rPr>
          <w:rFonts w:ascii="Calibri" w:eastAsia="Calibri" w:hAnsi="Calibri" w:cs="Calibri"/>
          <w:sz w:val="22"/>
          <w:szCs w:val="22"/>
        </w:rPr>
        <w:t>of credits that students have accrued</w:t>
      </w:r>
      <w:r w:rsidR="00B0199C" w:rsidRPr="00052541">
        <w:rPr>
          <w:rFonts w:ascii="Calibri" w:eastAsia="Calibri" w:hAnsi="Calibri" w:cs="Calibri"/>
          <w:sz w:val="22"/>
          <w:szCs w:val="22"/>
        </w:rPr>
        <w:t xml:space="preserve"> by the end of the second quarter, each year</w:t>
      </w:r>
      <w:r w:rsidR="00934AC7" w:rsidRPr="00052541">
        <w:rPr>
          <w:rFonts w:ascii="Calibri" w:eastAsia="Calibri" w:hAnsi="Calibri" w:cs="Calibri"/>
          <w:sz w:val="22"/>
          <w:szCs w:val="22"/>
        </w:rPr>
        <w:t>; as outlined in the following table:</w:t>
      </w:r>
    </w:p>
    <w:tbl>
      <w:tblPr>
        <w:tblStyle w:val="GridTable4-Accent11"/>
        <w:tblW w:w="0" w:type="auto"/>
        <w:tblLook w:val="04A0" w:firstRow="1" w:lastRow="0" w:firstColumn="1" w:lastColumn="0" w:noHBand="0" w:noVBand="1"/>
      </w:tblPr>
      <w:tblGrid>
        <w:gridCol w:w="4898"/>
        <w:gridCol w:w="4898"/>
      </w:tblGrid>
      <w:tr w:rsidR="00934AC7" w14:paraId="6B3CD4EC" w14:textId="77777777" w:rsidTr="00BF6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8" w:type="dxa"/>
          </w:tcPr>
          <w:p w14:paraId="1BDCF445" w14:textId="77777777" w:rsidR="00934AC7" w:rsidRPr="00934AC7" w:rsidRDefault="00BF6531" w:rsidP="00934AC7">
            <w:pPr>
              <w:jc w:val="center"/>
              <w:rPr>
                <w:rFonts w:ascii="Calibri" w:eastAsia="Calibri" w:hAnsi="Calibri" w:cs="Calibri"/>
                <w:b w:val="0"/>
                <w:sz w:val="24"/>
                <w:szCs w:val="24"/>
              </w:rPr>
            </w:pPr>
            <w:r>
              <w:rPr>
                <w:rFonts w:ascii="Calibri" w:eastAsia="Calibri" w:hAnsi="Calibri" w:cs="Calibri"/>
                <w:b w:val="0"/>
                <w:sz w:val="24"/>
                <w:szCs w:val="24"/>
              </w:rPr>
              <w:t>Number of Credits Required for a Student</w:t>
            </w:r>
            <w:r w:rsidR="00934AC7" w:rsidRPr="00934AC7">
              <w:rPr>
                <w:rFonts w:ascii="Calibri" w:eastAsia="Calibri" w:hAnsi="Calibri" w:cs="Calibri"/>
                <w:b w:val="0"/>
                <w:sz w:val="24"/>
                <w:szCs w:val="24"/>
              </w:rPr>
              <w:t xml:space="preserve"> to be Eligible</w:t>
            </w:r>
            <w:r>
              <w:rPr>
                <w:rFonts w:ascii="Calibri" w:eastAsia="Calibri" w:hAnsi="Calibri" w:cs="Calibri"/>
                <w:b w:val="0"/>
                <w:sz w:val="24"/>
                <w:szCs w:val="24"/>
              </w:rPr>
              <w:t xml:space="preserve"> for the Assessment</w:t>
            </w:r>
          </w:p>
        </w:tc>
        <w:tc>
          <w:tcPr>
            <w:tcW w:w="4898" w:type="dxa"/>
          </w:tcPr>
          <w:p w14:paraId="0693B2BE" w14:textId="77777777" w:rsidR="00934AC7" w:rsidRPr="00934AC7" w:rsidRDefault="00934AC7" w:rsidP="00BF653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sz w:val="24"/>
                <w:szCs w:val="24"/>
              </w:rPr>
            </w:pPr>
            <w:r>
              <w:rPr>
                <w:rFonts w:ascii="Calibri" w:eastAsia="Calibri" w:hAnsi="Calibri" w:cs="Calibri"/>
                <w:b w:val="0"/>
                <w:sz w:val="24"/>
                <w:szCs w:val="24"/>
              </w:rPr>
              <w:t xml:space="preserve">College/Career Ready </w:t>
            </w:r>
            <w:r w:rsidRPr="00934AC7">
              <w:rPr>
                <w:rFonts w:ascii="Calibri" w:eastAsia="Calibri" w:hAnsi="Calibri" w:cs="Calibri"/>
                <w:b w:val="0"/>
                <w:sz w:val="24"/>
                <w:szCs w:val="24"/>
              </w:rPr>
              <w:t>Assessment</w:t>
            </w:r>
          </w:p>
        </w:tc>
      </w:tr>
      <w:tr w:rsidR="00934AC7" w14:paraId="7C31B7B6" w14:textId="77777777" w:rsidTr="00BF6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8" w:type="dxa"/>
          </w:tcPr>
          <w:p w14:paraId="17C160E4" w14:textId="77777777" w:rsidR="00934AC7" w:rsidRDefault="00BF6531" w:rsidP="00934AC7">
            <w:pPr>
              <w:tabs>
                <w:tab w:val="left" w:pos="945"/>
              </w:tabs>
              <w:rPr>
                <w:rFonts w:ascii="Calibri" w:eastAsia="Calibri" w:hAnsi="Calibri" w:cs="Calibri"/>
                <w:sz w:val="24"/>
                <w:szCs w:val="24"/>
              </w:rPr>
            </w:pPr>
            <w:r>
              <w:rPr>
                <w:rFonts w:ascii="Calibri" w:eastAsia="Calibri" w:hAnsi="Calibri" w:cs="Calibri"/>
                <w:sz w:val="24"/>
                <w:szCs w:val="24"/>
              </w:rPr>
              <w:t>0</w:t>
            </w:r>
            <w:r w:rsidR="00934AC7">
              <w:rPr>
                <w:rFonts w:ascii="Calibri" w:eastAsia="Calibri" w:hAnsi="Calibri" w:cs="Calibri"/>
                <w:sz w:val="24"/>
                <w:szCs w:val="24"/>
              </w:rPr>
              <w:t>-5 credits earned</w:t>
            </w:r>
            <w:r w:rsidR="00934AC7">
              <w:rPr>
                <w:rFonts w:ascii="Calibri" w:eastAsia="Calibri" w:hAnsi="Calibri" w:cs="Calibri"/>
                <w:sz w:val="24"/>
                <w:szCs w:val="24"/>
              </w:rPr>
              <w:tab/>
            </w:r>
          </w:p>
        </w:tc>
        <w:tc>
          <w:tcPr>
            <w:tcW w:w="4898" w:type="dxa"/>
          </w:tcPr>
          <w:p w14:paraId="70AEC7BE" w14:textId="77777777" w:rsidR="00934AC7" w:rsidRDefault="00934AC7" w:rsidP="0017192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ACT Aspire for 9</w:t>
            </w:r>
            <w:r w:rsidRPr="00934AC7">
              <w:rPr>
                <w:rFonts w:ascii="Calibri" w:eastAsia="Calibri" w:hAnsi="Calibri" w:cs="Calibri"/>
                <w:sz w:val="24"/>
                <w:szCs w:val="24"/>
                <w:vertAlign w:val="superscript"/>
              </w:rPr>
              <w:t>th</w:t>
            </w:r>
            <w:r>
              <w:rPr>
                <w:rFonts w:ascii="Calibri" w:eastAsia="Calibri" w:hAnsi="Calibri" w:cs="Calibri"/>
                <w:sz w:val="24"/>
                <w:szCs w:val="24"/>
              </w:rPr>
              <w:t xml:space="preserve"> grade students</w:t>
            </w:r>
          </w:p>
        </w:tc>
      </w:tr>
      <w:tr w:rsidR="00934AC7" w14:paraId="717BEEBD" w14:textId="77777777" w:rsidTr="00BF6531">
        <w:tc>
          <w:tcPr>
            <w:cnfStyle w:val="001000000000" w:firstRow="0" w:lastRow="0" w:firstColumn="1" w:lastColumn="0" w:oddVBand="0" w:evenVBand="0" w:oddHBand="0" w:evenHBand="0" w:firstRowFirstColumn="0" w:firstRowLastColumn="0" w:lastRowFirstColumn="0" w:lastRowLastColumn="0"/>
            <w:tcW w:w="4898" w:type="dxa"/>
          </w:tcPr>
          <w:p w14:paraId="1A61AC58" w14:textId="77777777" w:rsidR="00934AC7" w:rsidRDefault="00934AC7" w:rsidP="00171922">
            <w:pPr>
              <w:rPr>
                <w:rFonts w:ascii="Calibri" w:eastAsia="Calibri" w:hAnsi="Calibri" w:cs="Calibri"/>
                <w:sz w:val="24"/>
                <w:szCs w:val="24"/>
              </w:rPr>
            </w:pPr>
            <w:r>
              <w:rPr>
                <w:rFonts w:ascii="Calibri" w:eastAsia="Calibri" w:hAnsi="Calibri" w:cs="Calibri"/>
                <w:sz w:val="24"/>
                <w:szCs w:val="24"/>
              </w:rPr>
              <w:t>6-11 credits earned</w:t>
            </w:r>
          </w:p>
        </w:tc>
        <w:tc>
          <w:tcPr>
            <w:tcW w:w="4898" w:type="dxa"/>
          </w:tcPr>
          <w:p w14:paraId="301D5CC0" w14:textId="77777777" w:rsidR="00934AC7" w:rsidRDefault="00934AC7" w:rsidP="0017192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ACT Aspire for 10</w:t>
            </w:r>
            <w:r w:rsidRPr="00934AC7">
              <w:rPr>
                <w:rFonts w:ascii="Calibri" w:eastAsia="Calibri" w:hAnsi="Calibri" w:cs="Calibri"/>
                <w:sz w:val="24"/>
                <w:szCs w:val="24"/>
                <w:vertAlign w:val="superscript"/>
              </w:rPr>
              <w:t>th</w:t>
            </w:r>
            <w:r>
              <w:rPr>
                <w:rFonts w:ascii="Calibri" w:eastAsia="Calibri" w:hAnsi="Calibri" w:cs="Calibri"/>
                <w:sz w:val="24"/>
                <w:szCs w:val="24"/>
              </w:rPr>
              <w:t xml:space="preserve"> grade students</w:t>
            </w:r>
          </w:p>
        </w:tc>
      </w:tr>
      <w:tr w:rsidR="00934AC7" w14:paraId="225AAF5B" w14:textId="77777777" w:rsidTr="00BF6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98" w:type="dxa"/>
          </w:tcPr>
          <w:p w14:paraId="3A82C352" w14:textId="77777777" w:rsidR="00934AC7" w:rsidRDefault="00934AC7" w:rsidP="00171922">
            <w:pPr>
              <w:rPr>
                <w:rFonts w:ascii="Calibri" w:eastAsia="Calibri" w:hAnsi="Calibri" w:cs="Calibri"/>
                <w:sz w:val="24"/>
                <w:szCs w:val="24"/>
              </w:rPr>
            </w:pPr>
            <w:r>
              <w:rPr>
                <w:rFonts w:ascii="Calibri" w:eastAsia="Calibri" w:hAnsi="Calibri" w:cs="Calibri"/>
                <w:sz w:val="24"/>
                <w:szCs w:val="24"/>
              </w:rPr>
              <w:t>12-17 credits earned</w:t>
            </w:r>
          </w:p>
        </w:tc>
        <w:tc>
          <w:tcPr>
            <w:tcW w:w="4898" w:type="dxa"/>
          </w:tcPr>
          <w:p w14:paraId="458BE19A" w14:textId="77777777" w:rsidR="00934AC7" w:rsidRDefault="00934AC7" w:rsidP="00171922">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ACT</w:t>
            </w:r>
          </w:p>
        </w:tc>
      </w:tr>
      <w:tr w:rsidR="00934AC7" w14:paraId="5039B5E5" w14:textId="77777777" w:rsidTr="00BF6531">
        <w:tc>
          <w:tcPr>
            <w:cnfStyle w:val="001000000000" w:firstRow="0" w:lastRow="0" w:firstColumn="1" w:lastColumn="0" w:oddVBand="0" w:evenVBand="0" w:oddHBand="0" w:evenHBand="0" w:firstRowFirstColumn="0" w:firstRowLastColumn="0" w:lastRowFirstColumn="0" w:lastRowLastColumn="0"/>
            <w:tcW w:w="4898" w:type="dxa"/>
          </w:tcPr>
          <w:p w14:paraId="0C060ACE" w14:textId="77777777" w:rsidR="00934AC7" w:rsidRDefault="00934AC7" w:rsidP="00171922">
            <w:pPr>
              <w:rPr>
                <w:rFonts w:ascii="Calibri" w:eastAsia="Calibri" w:hAnsi="Calibri" w:cs="Calibri"/>
                <w:sz w:val="24"/>
                <w:szCs w:val="24"/>
              </w:rPr>
            </w:pPr>
            <w:r>
              <w:rPr>
                <w:rFonts w:ascii="Calibri" w:eastAsia="Calibri" w:hAnsi="Calibri" w:cs="Calibri"/>
                <w:sz w:val="24"/>
                <w:szCs w:val="24"/>
              </w:rPr>
              <w:t>17 or more credits earned</w:t>
            </w:r>
          </w:p>
        </w:tc>
        <w:tc>
          <w:tcPr>
            <w:tcW w:w="4898" w:type="dxa"/>
          </w:tcPr>
          <w:p w14:paraId="5ED94505" w14:textId="77777777" w:rsidR="00934AC7" w:rsidRDefault="00934AC7" w:rsidP="0017192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Pr>
                <w:rFonts w:ascii="Calibri" w:eastAsia="Calibri" w:hAnsi="Calibri" w:cs="Calibri"/>
                <w:sz w:val="24"/>
                <w:szCs w:val="24"/>
              </w:rPr>
              <w:t>WorkKeys</w:t>
            </w:r>
          </w:p>
        </w:tc>
      </w:tr>
    </w:tbl>
    <w:p w14:paraId="51827509" w14:textId="77777777" w:rsidR="00B81F95" w:rsidRDefault="00B81F95" w:rsidP="00171922">
      <w:pPr>
        <w:rPr>
          <w:rFonts w:ascii="Calibri" w:eastAsia="Calibri" w:hAnsi="Calibri" w:cs="Calibri"/>
          <w:sz w:val="24"/>
          <w:szCs w:val="24"/>
        </w:rPr>
      </w:pPr>
    </w:p>
    <w:p w14:paraId="1EB39E62" w14:textId="77777777" w:rsidR="00FE763A" w:rsidRDefault="00934AC7" w:rsidP="00171922">
      <w:pPr>
        <w:rPr>
          <w:rFonts w:ascii="Calibri" w:eastAsia="Calibri" w:hAnsi="Calibri" w:cs="Calibri"/>
          <w:sz w:val="22"/>
          <w:szCs w:val="22"/>
        </w:rPr>
      </w:pPr>
      <w:r w:rsidRPr="00052541">
        <w:rPr>
          <w:rFonts w:ascii="Calibri" w:eastAsia="Calibri" w:hAnsi="Calibri" w:cs="Calibri"/>
          <w:sz w:val="22"/>
          <w:szCs w:val="22"/>
        </w:rPr>
        <w:t>In years 2016-17, 2017-18, and 2018-19, Beacon will be held accountable for participation rat</w:t>
      </w:r>
      <w:r w:rsidR="00BF6531" w:rsidRPr="00052541">
        <w:rPr>
          <w:rFonts w:ascii="Calibri" w:eastAsia="Calibri" w:hAnsi="Calibri" w:cs="Calibri"/>
          <w:sz w:val="22"/>
          <w:szCs w:val="22"/>
        </w:rPr>
        <w:t>es. However, Beacon will report also on the performance outcomes of each assessment during this time. Beginning in 2019-2020, data from 2016-17 through 2018-19 will be used to establish benchmarks for individual students’ progress on the ACT Aspire and ACT assessments and goals will be set for a progress measure moving forward.</w:t>
      </w:r>
    </w:p>
    <w:p w14:paraId="61F19F3D" w14:textId="77777777" w:rsidR="00177D95" w:rsidRDefault="00177D95" w:rsidP="00171922">
      <w:pPr>
        <w:rPr>
          <w:rFonts w:ascii="Calibri" w:eastAsia="Calibri" w:hAnsi="Calibri" w:cs="Calibri"/>
          <w:sz w:val="22"/>
          <w:szCs w:val="22"/>
        </w:rPr>
      </w:pPr>
    </w:p>
    <w:p w14:paraId="50384B5A" w14:textId="77777777" w:rsidR="00177D95" w:rsidRDefault="00177D95" w:rsidP="00171922">
      <w:pPr>
        <w:rPr>
          <w:rFonts w:ascii="Calibri" w:eastAsia="Calibri" w:hAnsi="Calibri" w:cs="Calibri"/>
          <w:sz w:val="22"/>
          <w:szCs w:val="22"/>
        </w:rPr>
      </w:pPr>
    </w:p>
    <w:p w14:paraId="1AAF8A5F" w14:textId="77777777" w:rsidR="00177D95" w:rsidRPr="00052541" w:rsidRDefault="00177D95" w:rsidP="00171922">
      <w:pPr>
        <w:rPr>
          <w:rFonts w:ascii="Calibri" w:eastAsia="Calibri" w:hAnsi="Calibri" w:cs="Calibri"/>
          <w:sz w:val="22"/>
          <w:szCs w:val="22"/>
        </w:rPr>
      </w:pPr>
    </w:p>
    <w:p w14:paraId="6BCFCF4B" w14:textId="77777777" w:rsidR="00F326D0" w:rsidRDefault="00F326D0" w:rsidP="00F326D0">
      <w:pPr>
        <w:pStyle w:val="Heading2"/>
        <w:rPr>
          <w:rFonts w:eastAsia="Calibri"/>
        </w:rPr>
      </w:pPr>
      <w:bookmarkStart w:id="53" w:name="_Toc474940158"/>
      <w:r>
        <w:rPr>
          <w:rFonts w:eastAsia="Calibri"/>
        </w:rPr>
        <w:lastRenderedPageBreak/>
        <w:t>Exemptions</w:t>
      </w:r>
      <w:bookmarkEnd w:id="53"/>
    </w:p>
    <w:p w14:paraId="1E506B35" w14:textId="77777777" w:rsidR="00F326D0" w:rsidRPr="00F326D0" w:rsidRDefault="00F326D0" w:rsidP="00F326D0">
      <w:pPr>
        <w:pStyle w:val="ListParagraph"/>
        <w:numPr>
          <w:ilvl w:val="0"/>
          <w:numId w:val="11"/>
        </w:numPr>
        <w:tabs>
          <w:tab w:val="left" w:pos="841"/>
        </w:tabs>
        <w:spacing w:line="279" w:lineRule="exact"/>
        <w:ind w:right="126"/>
        <w:rPr>
          <w:rFonts w:ascii="Calibri" w:eastAsia="Calibri" w:hAnsi="Calibri" w:cs="Calibri"/>
        </w:rPr>
      </w:pPr>
      <w:r>
        <w:rPr>
          <w:rFonts w:ascii="Calibri"/>
          <w:sz w:val="22"/>
        </w:rPr>
        <w:t>Students enrolled at the school for fewer than 91 consecutive days</w:t>
      </w:r>
    </w:p>
    <w:p w14:paraId="0E2D8695" w14:textId="72B2C09C" w:rsidR="00F326D0" w:rsidRDefault="00F326D0" w:rsidP="00F326D0">
      <w:pPr>
        <w:pStyle w:val="ListParagraph"/>
        <w:numPr>
          <w:ilvl w:val="0"/>
          <w:numId w:val="11"/>
        </w:numPr>
        <w:tabs>
          <w:tab w:val="left" w:pos="841"/>
        </w:tabs>
        <w:spacing w:line="279" w:lineRule="exact"/>
        <w:ind w:right="126"/>
        <w:rPr>
          <w:rFonts w:ascii="Calibri" w:eastAsia="Calibri" w:hAnsi="Calibri" w:cs="Calibri"/>
        </w:rPr>
      </w:pPr>
      <w:r>
        <w:rPr>
          <w:rFonts w:ascii="Calibri"/>
          <w:sz w:val="22"/>
        </w:rPr>
        <w:t>Students that were not enrolled or absent during the test registration window (students must register to take the</w:t>
      </w:r>
      <w:r w:rsidR="000A01C0">
        <w:rPr>
          <w:rFonts w:ascii="Calibri"/>
          <w:sz w:val="22"/>
        </w:rPr>
        <w:t xml:space="preserve"> ACT</w:t>
      </w:r>
      <w:r>
        <w:rPr>
          <w:rFonts w:ascii="Calibri"/>
          <w:sz w:val="22"/>
        </w:rPr>
        <w:t xml:space="preserve"> assessment</w:t>
      </w:r>
      <w:r w:rsidR="000A01C0">
        <w:rPr>
          <w:rFonts w:ascii="Calibri"/>
          <w:sz w:val="22"/>
        </w:rPr>
        <w:t>s</w:t>
      </w:r>
      <w:r>
        <w:rPr>
          <w:rFonts w:ascii="Calibri"/>
          <w:sz w:val="22"/>
        </w:rPr>
        <w:t xml:space="preserve"> two weeks prior to the test administration</w:t>
      </w:r>
      <w:r w:rsidR="00852F2A">
        <w:rPr>
          <w:rFonts w:ascii="Calibri"/>
          <w:sz w:val="22"/>
        </w:rPr>
        <w:t xml:space="preserve"> in order to sit for the tests</w:t>
      </w:r>
      <w:r>
        <w:rPr>
          <w:rFonts w:ascii="Calibri"/>
          <w:sz w:val="22"/>
        </w:rPr>
        <w:t>)</w:t>
      </w:r>
    </w:p>
    <w:p w14:paraId="0390A9B2" w14:textId="77777777" w:rsidR="007B3AF0" w:rsidRDefault="007B3AF0" w:rsidP="007B3AF0">
      <w:pPr>
        <w:pStyle w:val="Heading2"/>
        <w:rPr>
          <w:rFonts w:eastAsia="Calibri"/>
        </w:rPr>
      </w:pPr>
      <w:bookmarkStart w:id="54" w:name="_Toc474940159"/>
      <w:r>
        <w:rPr>
          <w:rFonts w:eastAsia="Calibri"/>
        </w:rPr>
        <w:t>Ratings and Targets</w:t>
      </w:r>
      <w:bookmarkEnd w:id="54"/>
      <w:r>
        <w:rPr>
          <w:rFonts w:eastAsia="Calibri"/>
        </w:rPr>
        <w:t xml:space="preserve"> </w:t>
      </w:r>
    </w:p>
    <w:p w14:paraId="5FCAC18B" w14:textId="77777777" w:rsidR="007B3AF0" w:rsidRPr="007B3AF0" w:rsidRDefault="007B3AF0" w:rsidP="007B3AF0">
      <w:r>
        <w:t>The targets for ACT Aspire participation rates follow in the table below.</w:t>
      </w:r>
    </w:p>
    <w:tbl>
      <w:tblPr>
        <w:tblStyle w:val="TableGrid"/>
        <w:tblW w:w="5000" w:type="pct"/>
        <w:jc w:val="center"/>
        <w:tblLook w:val="04A0" w:firstRow="1" w:lastRow="0" w:firstColumn="1" w:lastColumn="0" w:noHBand="0" w:noVBand="1"/>
      </w:tblPr>
      <w:tblGrid>
        <w:gridCol w:w="1453"/>
        <w:gridCol w:w="6740"/>
        <w:gridCol w:w="1603"/>
      </w:tblGrid>
      <w:tr w:rsidR="007B3AF0" w:rsidRPr="00D84E39" w14:paraId="428866D7" w14:textId="77777777" w:rsidTr="00934AC7">
        <w:trPr>
          <w:trHeight w:val="660"/>
          <w:jc w:val="center"/>
        </w:trPr>
        <w:tc>
          <w:tcPr>
            <w:tcW w:w="742" w:type="pct"/>
            <w:vAlign w:val="bottom"/>
            <w:hideMark/>
          </w:tcPr>
          <w:p w14:paraId="006FCDF6" w14:textId="77777777" w:rsidR="007B3AF0" w:rsidRPr="00D84E39" w:rsidRDefault="007B3AF0" w:rsidP="00934AC7">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40" w:type="pct"/>
            <w:vAlign w:val="bottom"/>
            <w:hideMark/>
          </w:tcPr>
          <w:p w14:paraId="5C3D0F63" w14:textId="77777777" w:rsidR="007B3AF0" w:rsidRPr="00D84E39" w:rsidRDefault="007B3AF0" w:rsidP="00934AC7">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818" w:type="pct"/>
            <w:vAlign w:val="bottom"/>
          </w:tcPr>
          <w:p w14:paraId="2D842B93" w14:textId="77777777" w:rsidR="007B3AF0" w:rsidRDefault="007B3AF0" w:rsidP="00934AC7">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7B3AF0" w:rsidRPr="00D84E39" w14:paraId="0D20C13B" w14:textId="77777777" w:rsidTr="00934AC7">
        <w:trPr>
          <w:trHeight w:val="600"/>
          <w:jc w:val="center"/>
        </w:trPr>
        <w:tc>
          <w:tcPr>
            <w:tcW w:w="742" w:type="pct"/>
            <w:shd w:val="clear" w:color="auto" w:fill="8064A2" w:themeFill="accent4"/>
            <w:noWrap/>
            <w:vAlign w:val="bottom"/>
          </w:tcPr>
          <w:p w14:paraId="05DE280A" w14:textId="77777777" w:rsidR="007B3AF0" w:rsidRPr="001D740C" w:rsidRDefault="007B3AF0" w:rsidP="00934AC7">
            <w:pPr>
              <w:jc w:val="center"/>
              <w:rPr>
                <w:rFonts w:ascii="Calibri" w:eastAsia="Times New Roman" w:hAnsi="Calibri" w:cs="Times New Roman"/>
                <w:b/>
                <w:bCs/>
              </w:rPr>
            </w:pPr>
            <w:r>
              <w:rPr>
                <w:rFonts w:ascii="Calibri" w:eastAsia="Times New Roman" w:hAnsi="Calibri" w:cs="Times New Roman"/>
                <w:b/>
                <w:bCs/>
              </w:rPr>
              <w:t>Exceptional</w:t>
            </w:r>
          </w:p>
        </w:tc>
        <w:tc>
          <w:tcPr>
            <w:tcW w:w="3440" w:type="pct"/>
            <w:vAlign w:val="bottom"/>
          </w:tcPr>
          <w:p w14:paraId="36B2CA9F" w14:textId="77777777" w:rsidR="007B3AF0" w:rsidRDefault="007B3AF0" w:rsidP="00934AC7">
            <w:pPr>
              <w:rPr>
                <w:rFonts w:ascii="Calibri" w:eastAsia="Times New Roman" w:hAnsi="Calibri" w:cs="Times New Roman"/>
              </w:rPr>
            </w:pPr>
            <w:r>
              <w:rPr>
                <w:rFonts w:ascii="Calibri" w:eastAsia="Times New Roman" w:hAnsi="Calibri" w:cs="Times New Roman"/>
              </w:rPr>
              <w:t>Between 95-100 percent of eligible students participate in the ACT Aspire assessments annually</w:t>
            </w:r>
          </w:p>
        </w:tc>
        <w:tc>
          <w:tcPr>
            <w:tcW w:w="818" w:type="pct"/>
            <w:vAlign w:val="bottom"/>
          </w:tcPr>
          <w:p w14:paraId="0413F814"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97.5</w:t>
            </w:r>
          </w:p>
        </w:tc>
      </w:tr>
      <w:tr w:rsidR="007B3AF0" w:rsidRPr="00D84E39" w14:paraId="46A16DF4" w14:textId="77777777" w:rsidTr="00934AC7">
        <w:trPr>
          <w:trHeight w:val="600"/>
          <w:jc w:val="center"/>
        </w:trPr>
        <w:tc>
          <w:tcPr>
            <w:tcW w:w="742" w:type="pct"/>
            <w:shd w:val="clear" w:color="auto" w:fill="0070C0"/>
            <w:noWrap/>
            <w:vAlign w:val="bottom"/>
            <w:hideMark/>
          </w:tcPr>
          <w:p w14:paraId="3CA19D1F" w14:textId="77777777" w:rsidR="007B3AF0" w:rsidRPr="001D740C" w:rsidRDefault="007B3AF0" w:rsidP="00934AC7">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40" w:type="pct"/>
            <w:vAlign w:val="bottom"/>
          </w:tcPr>
          <w:p w14:paraId="1F1579F1" w14:textId="77777777" w:rsidR="007B3AF0" w:rsidRPr="00D84E39" w:rsidRDefault="007B3AF0" w:rsidP="00934AC7">
            <w:pPr>
              <w:rPr>
                <w:rFonts w:ascii="Calibri" w:eastAsia="Times New Roman" w:hAnsi="Calibri" w:cs="Times New Roman"/>
              </w:rPr>
            </w:pPr>
            <w:r>
              <w:rPr>
                <w:rFonts w:ascii="Calibri" w:eastAsia="Times New Roman" w:hAnsi="Calibri" w:cs="Times New Roman"/>
              </w:rPr>
              <w:t>Between 75-94.9 percent of eligible students participate in the ACT Aspire assessments annually</w:t>
            </w:r>
          </w:p>
        </w:tc>
        <w:tc>
          <w:tcPr>
            <w:tcW w:w="818" w:type="pct"/>
            <w:vAlign w:val="bottom"/>
          </w:tcPr>
          <w:p w14:paraId="15F3D790"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85.0</w:t>
            </w:r>
          </w:p>
        </w:tc>
      </w:tr>
      <w:tr w:rsidR="007B3AF0" w:rsidRPr="00D84E39" w14:paraId="42B29598" w14:textId="77777777" w:rsidTr="00934AC7">
        <w:trPr>
          <w:trHeight w:val="600"/>
          <w:jc w:val="center"/>
        </w:trPr>
        <w:tc>
          <w:tcPr>
            <w:tcW w:w="742" w:type="pct"/>
            <w:shd w:val="clear" w:color="auto" w:fill="9BBB59" w:themeFill="accent3"/>
            <w:noWrap/>
            <w:vAlign w:val="bottom"/>
            <w:hideMark/>
          </w:tcPr>
          <w:p w14:paraId="3A03FDC9" w14:textId="77777777" w:rsidR="007B3AF0" w:rsidRPr="001D740C" w:rsidRDefault="007B3AF0" w:rsidP="00934AC7">
            <w:pPr>
              <w:jc w:val="center"/>
              <w:rPr>
                <w:rFonts w:ascii="Calibri" w:eastAsia="Times New Roman" w:hAnsi="Calibri" w:cs="Times New Roman"/>
                <w:b/>
                <w:bCs/>
              </w:rPr>
            </w:pPr>
            <w:r>
              <w:rPr>
                <w:rFonts w:ascii="Calibri" w:eastAsia="Times New Roman" w:hAnsi="Calibri" w:cs="Times New Roman"/>
                <w:b/>
                <w:bCs/>
              </w:rPr>
              <w:t>Adequate</w:t>
            </w:r>
          </w:p>
        </w:tc>
        <w:tc>
          <w:tcPr>
            <w:tcW w:w="3440" w:type="pct"/>
            <w:vAlign w:val="bottom"/>
          </w:tcPr>
          <w:p w14:paraId="462BE12F" w14:textId="77777777" w:rsidR="007B3AF0" w:rsidRPr="00D84E39" w:rsidRDefault="007B3AF0" w:rsidP="00934AC7">
            <w:pPr>
              <w:rPr>
                <w:rFonts w:ascii="Calibri" w:eastAsia="Times New Roman" w:hAnsi="Calibri" w:cs="Times New Roman"/>
              </w:rPr>
            </w:pPr>
            <w:r>
              <w:rPr>
                <w:rFonts w:ascii="Calibri" w:eastAsia="Times New Roman" w:hAnsi="Calibri" w:cs="Times New Roman"/>
              </w:rPr>
              <w:t>Between 50-74.9 percent of eligible students participate in the ACT Aspire assessments annually</w:t>
            </w:r>
          </w:p>
        </w:tc>
        <w:tc>
          <w:tcPr>
            <w:tcW w:w="818" w:type="pct"/>
            <w:vAlign w:val="bottom"/>
          </w:tcPr>
          <w:p w14:paraId="1C6AA7C3"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62.5</w:t>
            </w:r>
          </w:p>
        </w:tc>
      </w:tr>
      <w:tr w:rsidR="007B3AF0" w:rsidRPr="00D84E39" w14:paraId="01301558" w14:textId="77777777" w:rsidTr="00934AC7">
        <w:trPr>
          <w:trHeight w:val="600"/>
          <w:jc w:val="center"/>
        </w:trPr>
        <w:tc>
          <w:tcPr>
            <w:tcW w:w="742" w:type="pct"/>
            <w:shd w:val="clear" w:color="auto" w:fill="FFFF00"/>
            <w:noWrap/>
            <w:vAlign w:val="bottom"/>
          </w:tcPr>
          <w:p w14:paraId="5821B312" w14:textId="77777777" w:rsidR="007B3AF0" w:rsidRDefault="007B3AF0" w:rsidP="00934AC7">
            <w:pPr>
              <w:jc w:val="center"/>
              <w:rPr>
                <w:rFonts w:ascii="Calibri" w:eastAsia="Times New Roman" w:hAnsi="Calibri" w:cs="Times New Roman"/>
                <w:b/>
                <w:bCs/>
              </w:rPr>
            </w:pPr>
            <w:r>
              <w:rPr>
                <w:rFonts w:ascii="Calibri" w:eastAsia="Times New Roman" w:hAnsi="Calibri" w:cs="Times New Roman"/>
                <w:b/>
                <w:bCs/>
              </w:rPr>
              <w:t>Approaches</w:t>
            </w:r>
          </w:p>
        </w:tc>
        <w:tc>
          <w:tcPr>
            <w:tcW w:w="3440" w:type="pct"/>
            <w:vAlign w:val="bottom"/>
          </w:tcPr>
          <w:p w14:paraId="1FDFA4FD" w14:textId="77777777" w:rsidR="007B3AF0" w:rsidRDefault="007B3AF0" w:rsidP="00934AC7">
            <w:pPr>
              <w:rPr>
                <w:rFonts w:ascii="Calibri" w:eastAsia="Times New Roman" w:hAnsi="Calibri" w:cs="Times New Roman"/>
              </w:rPr>
            </w:pPr>
            <w:r>
              <w:rPr>
                <w:rFonts w:ascii="Calibri" w:eastAsia="Times New Roman" w:hAnsi="Calibri" w:cs="Times New Roman"/>
              </w:rPr>
              <w:t>Between 25-49.9 percent of eligible students participate in the ACT Aspire assessments annually</w:t>
            </w:r>
          </w:p>
        </w:tc>
        <w:tc>
          <w:tcPr>
            <w:tcW w:w="818" w:type="pct"/>
            <w:vAlign w:val="bottom"/>
          </w:tcPr>
          <w:p w14:paraId="61C94384"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37.5</w:t>
            </w:r>
          </w:p>
        </w:tc>
      </w:tr>
      <w:tr w:rsidR="007B3AF0" w:rsidRPr="00D84E39" w14:paraId="4B91DD34" w14:textId="77777777" w:rsidTr="00934AC7">
        <w:trPr>
          <w:trHeight w:val="600"/>
          <w:jc w:val="center"/>
        </w:trPr>
        <w:tc>
          <w:tcPr>
            <w:tcW w:w="742" w:type="pct"/>
            <w:shd w:val="clear" w:color="auto" w:fill="FFC000"/>
            <w:noWrap/>
            <w:vAlign w:val="bottom"/>
          </w:tcPr>
          <w:p w14:paraId="2CAF8425" w14:textId="77777777" w:rsidR="007B3AF0" w:rsidRPr="001D740C" w:rsidRDefault="007B3AF0" w:rsidP="00934AC7">
            <w:pPr>
              <w:jc w:val="center"/>
              <w:rPr>
                <w:rFonts w:ascii="Calibri" w:eastAsia="Times New Roman" w:hAnsi="Calibri" w:cs="Times New Roman"/>
                <w:b/>
                <w:bCs/>
              </w:rPr>
            </w:pPr>
            <w:r>
              <w:rPr>
                <w:rFonts w:ascii="Calibri" w:eastAsia="Times New Roman" w:hAnsi="Calibri" w:cs="Times New Roman"/>
                <w:b/>
                <w:bCs/>
              </w:rPr>
              <w:t>Unsatisfactory</w:t>
            </w:r>
          </w:p>
        </w:tc>
        <w:tc>
          <w:tcPr>
            <w:tcW w:w="3440" w:type="pct"/>
            <w:vAlign w:val="bottom"/>
          </w:tcPr>
          <w:p w14:paraId="646D5B9A" w14:textId="77777777" w:rsidR="007B3AF0" w:rsidRDefault="007B3AF0" w:rsidP="00934AC7">
            <w:pPr>
              <w:rPr>
                <w:rFonts w:ascii="Calibri" w:eastAsia="Times New Roman" w:hAnsi="Calibri" w:cs="Times New Roman"/>
              </w:rPr>
            </w:pPr>
            <w:r>
              <w:rPr>
                <w:rFonts w:ascii="Calibri" w:eastAsia="Times New Roman" w:hAnsi="Calibri" w:cs="Times New Roman"/>
              </w:rPr>
              <w:t>Between 5-24.9 percent of eligible students participate in the ACT Aspire assessments annually</w:t>
            </w:r>
          </w:p>
        </w:tc>
        <w:tc>
          <w:tcPr>
            <w:tcW w:w="818" w:type="pct"/>
            <w:vAlign w:val="bottom"/>
          </w:tcPr>
          <w:p w14:paraId="52601852"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15.0</w:t>
            </w:r>
          </w:p>
        </w:tc>
      </w:tr>
      <w:tr w:rsidR="007B3AF0" w:rsidRPr="00D84E39" w14:paraId="69980EE3" w14:textId="77777777" w:rsidTr="00934AC7">
        <w:trPr>
          <w:trHeight w:val="600"/>
          <w:jc w:val="center"/>
        </w:trPr>
        <w:tc>
          <w:tcPr>
            <w:tcW w:w="742" w:type="pct"/>
            <w:shd w:val="clear" w:color="auto" w:fill="C0504D" w:themeFill="accent2"/>
            <w:noWrap/>
            <w:vAlign w:val="bottom"/>
            <w:hideMark/>
          </w:tcPr>
          <w:p w14:paraId="35DFDE72" w14:textId="77777777" w:rsidR="007B3AF0" w:rsidRPr="001D740C" w:rsidRDefault="007B3AF0" w:rsidP="00934AC7">
            <w:pPr>
              <w:jc w:val="center"/>
              <w:rPr>
                <w:rFonts w:ascii="Calibri" w:eastAsia="Times New Roman" w:hAnsi="Calibri" w:cs="Times New Roman"/>
                <w:b/>
                <w:bCs/>
              </w:rPr>
            </w:pPr>
            <w:r>
              <w:rPr>
                <w:rFonts w:ascii="Calibri" w:eastAsia="Times New Roman" w:hAnsi="Calibri" w:cs="Times New Roman"/>
                <w:b/>
                <w:bCs/>
              </w:rPr>
              <w:t>Critical</w:t>
            </w:r>
          </w:p>
        </w:tc>
        <w:tc>
          <w:tcPr>
            <w:tcW w:w="3440" w:type="pct"/>
            <w:vAlign w:val="bottom"/>
          </w:tcPr>
          <w:p w14:paraId="68658AFC" w14:textId="77777777" w:rsidR="007B3AF0" w:rsidRPr="00D84E39" w:rsidRDefault="007B3AF0" w:rsidP="00934AC7">
            <w:pPr>
              <w:rPr>
                <w:rFonts w:ascii="Calibri" w:eastAsia="Times New Roman" w:hAnsi="Calibri" w:cs="Times New Roman"/>
              </w:rPr>
            </w:pPr>
            <w:r>
              <w:rPr>
                <w:rFonts w:ascii="Calibri" w:eastAsia="Times New Roman" w:hAnsi="Calibri" w:cs="Times New Roman"/>
              </w:rPr>
              <w:t>Less than 5 percent of eligible students participate in the ACT Aspire assessments annually</w:t>
            </w:r>
          </w:p>
        </w:tc>
        <w:tc>
          <w:tcPr>
            <w:tcW w:w="818" w:type="pct"/>
            <w:vAlign w:val="bottom"/>
          </w:tcPr>
          <w:p w14:paraId="1A91E201" w14:textId="77777777" w:rsidR="007B3AF0" w:rsidRDefault="007B3AF0" w:rsidP="00934AC7">
            <w:pPr>
              <w:jc w:val="center"/>
              <w:rPr>
                <w:rFonts w:ascii="Calibri" w:eastAsia="Times New Roman" w:hAnsi="Calibri" w:cs="Times New Roman"/>
              </w:rPr>
            </w:pPr>
            <w:r>
              <w:rPr>
                <w:rFonts w:ascii="Calibri" w:eastAsia="Times New Roman" w:hAnsi="Calibri" w:cs="Times New Roman"/>
              </w:rPr>
              <w:t>2.5</w:t>
            </w:r>
          </w:p>
        </w:tc>
      </w:tr>
    </w:tbl>
    <w:p w14:paraId="1B416049" w14:textId="77777777" w:rsidR="006436D9" w:rsidRDefault="006436D9" w:rsidP="002E5F98">
      <w:pPr>
        <w:rPr>
          <w:rFonts w:eastAsia="Calibri"/>
        </w:rPr>
      </w:pPr>
      <w:bookmarkStart w:id="55" w:name="_Toc474838422"/>
    </w:p>
    <w:p w14:paraId="361793A8" w14:textId="77777777" w:rsidR="00833748" w:rsidRDefault="00A83542" w:rsidP="00833748">
      <w:pPr>
        <w:pStyle w:val="Heading1"/>
        <w:rPr>
          <w:rFonts w:eastAsia="Calibri"/>
        </w:rPr>
      </w:pPr>
      <w:bookmarkStart w:id="56" w:name="_Toc474940160"/>
      <w:r>
        <w:rPr>
          <w:rFonts w:eastAsia="Calibri"/>
        </w:rPr>
        <w:t>Student Engagement Measure 4</w:t>
      </w:r>
      <w:r w:rsidR="00833748">
        <w:rPr>
          <w:rFonts w:eastAsia="Calibri"/>
        </w:rPr>
        <w:t xml:space="preserve">.a. </w:t>
      </w:r>
      <w:bookmarkEnd w:id="55"/>
      <w:r w:rsidR="00396D0D">
        <w:rPr>
          <w:rFonts w:eastAsia="Calibri"/>
        </w:rPr>
        <w:t>Student Retention</w:t>
      </w:r>
      <w:bookmarkEnd w:id="56"/>
    </w:p>
    <w:p w14:paraId="41886448" w14:textId="77777777" w:rsidR="00833748" w:rsidRDefault="00833748" w:rsidP="00833748">
      <w:r w:rsidRPr="00833748">
        <w:rPr>
          <w:u w:val="single"/>
        </w:rPr>
        <w:t>Metric</w:t>
      </w:r>
      <w:r>
        <w:t>: The percent of non-graduating students from the end of the prior year that return in the current year.</w:t>
      </w:r>
    </w:p>
    <w:p w14:paraId="287BE63D" w14:textId="77777777" w:rsidR="00833748" w:rsidRDefault="00833748" w:rsidP="00833748">
      <w:pPr>
        <w:rPr>
          <w:u w:color="000000"/>
        </w:rPr>
      </w:pPr>
      <w:r w:rsidRPr="00F51B2C">
        <w:rPr>
          <w:u w:val="single" w:color="000000"/>
        </w:rPr>
        <w:t>Applicable grade levels</w:t>
      </w:r>
      <w:r>
        <w:rPr>
          <w:u w:color="000000"/>
        </w:rPr>
        <w:t>: All grades, all students</w:t>
      </w:r>
    </w:p>
    <w:p w14:paraId="51A4C07E" w14:textId="77777777" w:rsidR="00E83D74" w:rsidRDefault="00E83D74" w:rsidP="00833748">
      <w:pPr>
        <w:rPr>
          <w:u w:color="000000"/>
        </w:rPr>
      </w:pPr>
    </w:p>
    <w:p w14:paraId="4E34CEA4" w14:textId="77777777" w:rsidR="00E83D74" w:rsidRDefault="00E83D74" w:rsidP="00833748">
      <w:pPr>
        <w:rPr>
          <w:u w:color="000000"/>
        </w:rPr>
      </w:pPr>
    </w:p>
    <w:p w14:paraId="5AE83A33" w14:textId="77777777" w:rsidR="00E83D74" w:rsidRDefault="00E83D74" w:rsidP="00833748">
      <w:pPr>
        <w:rPr>
          <w:u w:color="000000"/>
        </w:rPr>
      </w:pPr>
    </w:p>
    <w:p w14:paraId="1A0DA174" w14:textId="77777777" w:rsidR="00E83D74" w:rsidRDefault="00E83D74" w:rsidP="00833748">
      <w:pPr>
        <w:rPr>
          <w:u w:color="000000"/>
        </w:rPr>
      </w:pPr>
    </w:p>
    <w:p w14:paraId="17F79A56" w14:textId="77777777" w:rsidR="00E83D74" w:rsidRDefault="00E83D74" w:rsidP="00833748">
      <w:pPr>
        <w:rPr>
          <w:u w:color="000000"/>
        </w:rPr>
      </w:pPr>
    </w:p>
    <w:p w14:paraId="10E89BC1" w14:textId="77777777" w:rsidR="00E83D74" w:rsidRDefault="00E83D74" w:rsidP="00833748">
      <w:pPr>
        <w:rPr>
          <w:u w:color="000000"/>
        </w:rPr>
      </w:pPr>
    </w:p>
    <w:p w14:paraId="46ABEBAB" w14:textId="77777777" w:rsidR="00E83D74" w:rsidRDefault="00E83D74" w:rsidP="00833748">
      <w:pPr>
        <w:rPr>
          <w:u w:color="000000"/>
        </w:rPr>
      </w:pPr>
    </w:p>
    <w:p w14:paraId="4C7CCD92" w14:textId="77777777" w:rsidR="00E83D74" w:rsidRDefault="00E83D74" w:rsidP="00833748">
      <w:pPr>
        <w:rPr>
          <w:u w:color="000000"/>
        </w:rPr>
      </w:pPr>
    </w:p>
    <w:p w14:paraId="343C81F6" w14:textId="77777777" w:rsidR="00833748" w:rsidRDefault="00833748" w:rsidP="00833748">
      <w:pPr>
        <w:pStyle w:val="Heading2"/>
      </w:pPr>
      <w:bookmarkStart w:id="57" w:name="_Toc474843259"/>
      <w:bookmarkStart w:id="58" w:name="_Toc474940161"/>
      <w:r>
        <w:lastRenderedPageBreak/>
        <w:t>Computing the Metric</w:t>
      </w:r>
      <w:bookmarkEnd w:id="57"/>
      <w:bookmarkEnd w:id="58"/>
    </w:p>
    <w:p w14:paraId="10527F01" w14:textId="77777777" w:rsidR="00B03ECF" w:rsidRDefault="00B03ECF" w:rsidP="00FE763A">
      <w:pPr>
        <w:pStyle w:val="Heading3"/>
      </w:pPr>
      <w:bookmarkStart w:id="59" w:name="_Toc474843260"/>
      <w:bookmarkStart w:id="60" w:name="_Toc474940162"/>
      <w:r>
        <w:t>Numorator</w:t>
      </w:r>
      <w:bookmarkEnd w:id="59"/>
      <w:bookmarkEnd w:id="60"/>
    </w:p>
    <w:p w14:paraId="47DF0B86" w14:textId="1D79BDD7" w:rsidR="00B03ECF" w:rsidRPr="00B03ECF" w:rsidRDefault="00B03ECF" w:rsidP="00B03ECF">
      <w:pPr>
        <w:jc w:val="center"/>
      </w:pPr>
      <w:r>
        <w:t>Number of students enrolled o</w:t>
      </w:r>
      <w:r w:rsidR="00B81F95">
        <w:t>n October validation</w:t>
      </w:r>
      <w:r>
        <w:t xml:space="preserve"> day of the current year that were also en</w:t>
      </w:r>
      <w:r w:rsidR="00B81F95">
        <w:t>rolled on the final day of the prior school year</w:t>
      </w:r>
    </w:p>
    <w:p w14:paraId="52C9FC6E" w14:textId="77777777" w:rsidR="00833748" w:rsidRDefault="00B03ECF" w:rsidP="00B03ECF">
      <w:pPr>
        <w:pStyle w:val="Heading3"/>
      </w:pPr>
      <w:bookmarkStart w:id="61" w:name="_Toc474843261"/>
      <w:bookmarkStart w:id="62" w:name="_Toc474940163"/>
      <w:r>
        <w:t>Denominator</w:t>
      </w:r>
      <w:bookmarkEnd w:id="61"/>
      <w:bookmarkEnd w:id="62"/>
    </w:p>
    <w:p w14:paraId="29E5DF41" w14:textId="1740BB79" w:rsidR="00833748" w:rsidRDefault="00833748" w:rsidP="00833748">
      <w:pPr>
        <w:jc w:val="center"/>
      </w:pPr>
      <w:r>
        <w:t>Total number of student enro</w:t>
      </w:r>
      <w:r w:rsidR="00B81F95">
        <w:t>lled on the final day of school</w:t>
      </w:r>
      <w:r>
        <w:t xml:space="preserve"> </w:t>
      </w:r>
      <w:r w:rsidR="00B81F95">
        <w:t>from the prior</w:t>
      </w:r>
      <w:r>
        <w:t xml:space="preserve"> year</w:t>
      </w:r>
    </w:p>
    <w:p w14:paraId="72B28B8A" w14:textId="77777777" w:rsidR="00833748" w:rsidRDefault="00833748" w:rsidP="00833748">
      <w:pPr>
        <w:jc w:val="center"/>
      </w:pPr>
      <w:r>
        <w:t>MINUS</w:t>
      </w:r>
    </w:p>
    <w:p w14:paraId="46A01F8C" w14:textId="77777777" w:rsidR="00833748" w:rsidRDefault="00833748" w:rsidP="00833748">
      <w:pPr>
        <w:jc w:val="center"/>
      </w:pPr>
      <w:r>
        <w:t>Prior year graduates</w:t>
      </w:r>
      <w:r w:rsidR="00B03ECF">
        <w:t xml:space="preserve"> and summer graduates</w:t>
      </w:r>
    </w:p>
    <w:p w14:paraId="07E725CA" w14:textId="77777777" w:rsidR="00833748" w:rsidRDefault="00833748" w:rsidP="00833748">
      <w:pPr>
        <w:jc w:val="center"/>
      </w:pPr>
      <w:r>
        <w:t>MINUS</w:t>
      </w:r>
    </w:p>
    <w:p w14:paraId="49A16763" w14:textId="77777777" w:rsidR="00833748" w:rsidRDefault="00833748" w:rsidP="00833748">
      <w:pPr>
        <w:jc w:val="center"/>
      </w:pPr>
      <w:r>
        <w:t>Prior year completers</w:t>
      </w:r>
      <w:r w:rsidR="00B03ECF">
        <w:t xml:space="preserve"> and summer completers</w:t>
      </w:r>
    </w:p>
    <w:p w14:paraId="500812DC" w14:textId="77777777" w:rsidR="00FE763A" w:rsidRPr="00FE763A" w:rsidRDefault="00B03ECF" w:rsidP="00FE763A">
      <w:pPr>
        <w:pStyle w:val="Heading2"/>
      </w:pPr>
      <w:bookmarkStart w:id="63" w:name="_Toc474843262"/>
      <w:bookmarkStart w:id="64" w:name="_Toc474940164"/>
      <w:r>
        <w:t>Exempted Students</w:t>
      </w:r>
      <w:bookmarkEnd w:id="63"/>
      <w:bookmarkEnd w:id="64"/>
    </w:p>
    <w:p w14:paraId="60C87037" w14:textId="77777777" w:rsidR="00FE763A" w:rsidRPr="00FE763A" w:rsidRDefault="00FE763A" w:rsidP="00FE763A">
      <w:pPr>
        <w:pStyle w:val="ListParagraph"/>
        <w:numPr>
          <w:ilvl w:val="0"/>
          <w:numId w:val="23"/>
        </w:numPr>
        <w:rPr>
          <w:sz w:val="22"/>
          <w:szCs w:val="22"/>
        </w:rPr>
      </w:pPr>
      <w:r w:rsidRPr="00FE763A">
        <w:rPr>
          <w:rFonts w:eastAsia="Calibri"/>
          <w:sz w:val="22"/>
          <w:szCs w:val="22"/>
        </w:rPr>
        <w:t>Students tha</w:t>
      </w:r>
      <w:r w:rsidR="00751B0A">
        <w:rPr>
          <w:rFonts w:eastAsia="Calibri"/>
          <w:sz w:val="22"/>
          <w:szCs w:val="22"/>
        </w:rPr>
        <w:t>t turn 21 prior to October validation</w:t>
      </w:r>
      <w:r w:rsidRPr="00FE763A">
        <w:rPr>
          <w:rFonts w:eastAsia="Calibri"/>
          <w:sz w:val="22"/>
          <w:szCs w:val="22"/>
        </w:rPr>
        <w:t xml:space="preserve"> day of the current year</w:t>
      </w:r>
    </w:p>
    <w:p w14:paraId="0485D636" w14:textId="77777777" w:rsidR="00FE763A" w:rsidRPr="00FE763A" w:rsidRDefault="00B03ECF" w:rsidP="00FE763A">
      <w:pPr>
        <w:pStyle w:val="ListParagraph"/>
        <w:numPr>
          <w:ilvl w:val="0"/>
          <w:numId w:val="23"/>
        </w:numPr>
        <w:rPr>
          <w:sz w:val="22"/>
          <w:szCs w:val="22"/>
        </w:rPr>
      </w:pPr>
      <w:r w:rsidRPr="00FE763A">
        <w:rPr>
          <w:rFonts w:ascii="Calibri" w:eastAsia="Calibri" w:hAnsi="Calibri" w:cs="Calibri"/>
          <w:sz w:val="22"/>
          <w:szCs w:val="22"/>
        </w:rPr>
        <w:t>Deceased students</w:t>
      </w:r>
    </w:p>
    <w:p w14:paraId="1D777C22" w14:textId="77777777" w:rsidR="005C577F" w:rsidRPr="002E5F98" w:rsidRDefault="00B03ECF" w:rsidP="00FE763A">
      <w:pPr>
        <w:pStyle w:val="ListParagraph"/>
        <w:numPr>
          <w:ilvl w:val="0"/>
          <w:numId w:val="23"/>
        </w:numPr>
        <w:rPr>
          <w:sz w:val="22"/>
          <w:szCs w:val="22"/>
        </w:rPr>
      </w:pPr>
      <w:r w:rsidRPr="00FE763A">
        <w:rPr>
          <w:rFonts w:ascii="Calibri" w:eastAsia="Calibri" w:hAnsi="Calibri" w:cs="Calibri"/>
          <w:sz w:val="22"/>
          <w:szCs w:val="22"/>
        </w:rPr>
        <w:t>Students that withdraw for medical reasons</w:t>
      </w:r>
      <w:r w:rsidR="00E218E7">
        <w:rPr>
          <w:rFonts w:ascii="Calibri" w:eastAsia="Calibri" w:hAnsi="Calibri" w:cs="Calibri"/>
          <w:sz w:val="22"/>
          <w:szCs w:val="22"/>
        </w:rPr>
        <w:t xml:space="preserve"> and whom cannot access online or home teacher support</w:t>
      </w:r>
    </w:p>
    <w:p w14:paraId="0BE1E5C4" w14:textId="77777777" w:rsidR="002E5F98" w:rsidRDefault="002E5F98" w:rsidP="002E5F98">
      <w:pPr>
        <w:rPr>
          <w:sz w:val="22"/>
          <w:szCs w:val="22"/>
        </w:rPr>
      </w:pPr>
    </w:p>
    <w:p w14:paraId="743859A1" w14:textId="77777777" w:rsidR="002E5F98" w:rsidRDefault="002E5F98" w:rsidP="002E5F98">
      <w:pPr>
        <w:rPr>
          <w:sz w:val="22"/>
          <w:szCs w:val="22"/>
        </w:rPr>
      </w:pPr>
    </w:p>
    <w:p w14:paraId="30D375FE" w14:textId="77777777" w:rsidR="002E5F98" w:rsidRDefault="002E5F98" w:rsidP="002E5F98">
      <w:pPr>
        <w:rPr>
          <w:sz w:val="22"/>
          <w:szCs w:val="22"/>
        </w:rPr>
      </w:pPr>
    </w:p>
    <w:p w14:paraId="3B625888" w14:textId="77777777" w:rsidR="002E5F98" w:rsidRDefault="002E5F98" w:rsidP="002E5F98">
      <w:pPr>
        <w:rPr>
          <w:sz w:val="22"/>
          <w:szCs w:val="22"/>
        </w:rPr>
      </w:pPr>
    </w:p>
    <w:p w14:paraId="46EB2948" w14:textId="77777777" w:rsidR="002E5F98" w:rsidRDefault="002E5F98" w:rsidP="002E5F98">
      <w:pPr>
        <w:rPr>
          <w:sz w:val="22"/>
          <w:szCs w:val="22"/>
        </w:rPr>
      </w:pPr>
    </w:p>
    <w:p w14:paraId="469B7AC2" w14:textId="77777777" w:rsidR="002E5F98" w:rsidRDefault="002E5F98" w:rsidP="002E5F98">
      <w:pPr>
        <w:rPr>
          <w:sz w:val="22"/>
          <w:szCs w:val="22"/>
        </w:rPr>
      </w:pPr>
    </w:p>
    <w:p w14:paraId="55C148E1" w14:textId="77777777" w:rsidR="002E5F98" w:rsidRDefault="002E5F98" w:rsidP="002E5F98">
      <w:pPr>
        <w:rPr>
          <w:sz w:val="22"/>
          <w:szCs w:val="22"/>
        </w:rPr>
      </w:pPr>
    </w:p>
    <w:p w14:paraId="6AE73AB2" w14:textId="77777777" w:rsidR="00E83D74" w:rsidRDefault="00E83D74" w:rsidP="002E5F98">
      <w:pPr>
        <w:rPr>
          <w:sz w:val="22"/>
          <w:szCs w:val="22"/>
        </w:rPr>
      </w:pPr>
    </w:p>
    <w:p w14:paraId="07CF6952" w14:textId="77777777" w:rsidR="00E83D74" w:rsidRDefault="00E83D74" w:rsidP="002E5F98">
      <w:pPr>
        <w:rPr>
          <w:sz w:val="22"/>
          <w:szCs w:val="22"/>
        </w:rPr>
      </w:pPr>
    </w:p>
    <w:p w14:paraId="3B0828DC" w14:textId="77777777" w:rsidR="00E83D74" w:rsidRDefault="00E83D74" w:rsidP="002E5F98">
      <w:pPr>
        <w:rPr>
          <w:sz w:val="22"/>
          <w:szCs w:val="22"/>
        </w:rPr>
      </w:pPr>
    </w:p>
    <w:p w14:paraId="7315C8DC" w14:textId="77777777" w:rsidR="002E5F98" w:rsidRDefault="002E5F98" w:rsidP="002E5F98">
      <w:pPr>
        <w:rPr>
          <w:sz w:val="22"/>
          <w:szCs w:val="22"/>
        </w:rPr>
      </w:pPr>
    </w:p>
    <w:p w14:paraId="25C79A0F" w14:textId="77777777" w:rsidR="002E5F98" w:rsidRPr="002E5F98" w:rsidRDefault="002E5F98" w:rsidP="002E5F98">
      <w:pPr>
        <w:rPr>
          <w:sz w:val="22"/>
          <w:szCs w:val="22"/>
        </w:rPr>
      </w:pPr>
    </w:p>
    <w:p w14:paraId="756DE7EB" w14:textId="77777777" w:rsidR="00920590" w:rsidRDefault="00FE763A" w:rsidP="00FE763A">
      <w:pPr>
        <w:pStyle w:val="Heading2"/>
        <w:rPr>
          <w:rFonts w:eastAsia="Calibri"/>
        </w:rPr>
      </w:pPr>
      <w:bookmarkStart w:id="65" w:name="_Toc474843263"/>
      <w:bookmarkStart w:id="66" w:name="_Toc474940165"/>
      <w:r>
        <w:rPr>
          <w:rFonts w:eastAsia="Calibri"/>
        </w:rPr>
        <w:lastRenderedPageBreak/>
        <w:t>Ratings and Targets</w:t>
      </w:r>
      <w:bookmarkEnd w:id="65"/>
      <w:bookmarkEnd w:id="66"/>
    </w:p>
    <w:p w14:paraId="14672499" w14:textId="77777777" w:rsidR="00FE763A" w:rsidRPr="00FE763A" w:rsidRDefault="00FE763A" w:rsidP="00FE763A">
      <w:pPr>
        <w:rPr>
          <w:sz w:val="22"/>
          <w:szCs w:val="22"/>
        </w:rPr>
      </w:pPr>
      <w:r w:rsidRPr="00FE763A">
        <w:rPr>
          <w:sz w:val="22"/>
          <w:szCs w:val="22"/>
        </w:rPr>
        <w:t>The table below outlines the continuing student rate targets for each of the possible ratings.</w:t>
      </w:r>
    </w:p>
    <w:tbl>
      <w:tblPr>
        <w:tblStyle w:val="TableGrid"/>
        <w:tblW w:w="5000" w:type="pct"/>
        <w:jc w:val="center"/>
        <w:tblLook w:val="04A0" w:firstRow="1" w:lastRow="0" w:firstColumn="1" w:lastColumn="0" w:noHBand="0" w:noVBand="1"/>
      </w:tblPr>
      <w:tblGrid>
        <w:gridCol w:w="1453"/>
        <w:gridCol w:w="6740"/>
        <w:gridCol w:w="1603"/>
      </w:tblGrid>
      <w:tr w:rsidR="00F36D61" w:rsidRPr="00D84E39" w14:paraId="64E00513" w14:textId="77777777" w:rsidTr="00F36D61">
        <w:trPr>
          <w:trHeight w:val="660"/>
          <w:jc w:val="center"/>
        </w:trPr>
        <w:tc>
          <w:tcPr>
            <w:tcW w:w="742" w:type="pct"/>
            <w:hideMark/>
          </w:tcPr>
          <w:p w14:paraId="53F3CFBB" w14:textId="77777777" w:rsidR="00F36D61" w:rsidRPr="00D84E39" w:rsidRDefault="00F36D61" w:rsidP="00FE763A">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40" w:type="pct"/>
            <w:vAlign w:val="bottom"/>
            <w:hideMark/>
          </w:tcPr>
          <w:p w14:paraId="4B752415" w14:textId="77777777" w:rsidR="00F36D61" w:rsidRPr="00D84E39" w:rsidRDefault="00F36D61" w:rsidP="00FE763A">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818" w:type="pct"/>
            <w:vAlign w:val="bottom"/>
          </w:tcPr>
          <w:p w14:paraId="67F609BA" w14:textId="77777777" w:rsidR="00F36D61" w:rsidRDefault="00F36D61" w:rsidP="00F36D61">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F36D61" w:rsidRPr="00D84E39" w14:paraId="421A2CC3" w14:textId="77777777" w:rsidTr="00F36D61">
        <w:trPr>
          <w:trHeight w:val="600"/>
          <w:jc w:val="center"/>
        </w:trPr>
        <w:tc>
          <w:tcPr>
            <w:tcW w:w="742" w:type="pct"/>
            <w:shd w:val="clear" w:color="auto" w:fill="8064A2" w:themeFill="accent4"/>
            <w:noWrap/>
            <w:vAlign w:val="bottom"/>
          </w:tcPr>
          <w:p w14:paraId="012FA84F" w14:textId="77777777" w:rsidR="00F36D61" w:rsidRPr="001D740C" w:rsidRDefault="00F36D61" w:rsidP="00F36D61">
            <w:pPr>
              <w:jc w:val="center"/>
              <w:rPr>
                <w:rFonts w:ascii="Calibri" w:eastAsia="Times New Roman" w:hAnsi="Calibri" w:cs="Times New Roman"/>
                <w:b/>
                <w:bCs/>
              </w:rPr>
            </w:pPr>
            <w:r>
              <w:rPr>
                <w:rFonts w:ascii="Calibri" w:eastAsia="Times New Roman" w:hAnsi="Calibri" w:cs="Times New Roman"/>
                <w:b/>
                <w:bCs/>
              </w:rPr>
              <w:t>Exceptional</w:t>
            </w:r>
          </w:p>
        </w:tc>
        <w:tc>
          <w:tcPr>
            <w:tcW w:w="3440" w:type="pct"/>
            <w:vAlign w:val="bottom"/>
          </w:tcPr>
          <w:p w14:paraId="1C58A296" w14:textId="77777777" w:rsidR="00F36D61" w:rsidRDefault="00F36D61" w:rsidP="00F36D61">
            <w:pPr>
              <w:rPr>
                <w:rFonts w:ascii="Calibri" w:eastAsia="Times New Roman" w:hAnsi="Calibri" w:cs="Times New Roman"/>
              </w:rPr>
            </w:pPr>
            <w:r>
              <w:rPr>
                <w:rFonts w:ascii="Calibri" w:eastAsia="Times New Roman" w:hAnsi="Calibri" w:cs="Times New Roman"/>
              </w:rPr>
              <w:t xml:space="preserve">85-100 </w:t>
            </w:r>
            <w:r w:rsidRPr="00833748">
              <w:rPr>
                <w:u w:color="000000"/>
              </w:rPr>
              <w:t>percent 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0F621DB4" w14:textId="77777777" w:rsidR="00F36D61" w:rsidRDefault="00F36D61" w:rsidP="00F36D61">
            <w:pPr>
              <w:jc w:val="center"/>
              <w:rPr>
                <w:rFonts w:ascii="Calibri" w:eastAsia="Times New Roman" w:hAnsi="Calibri" w:cs="Times New Roman"/>
              </w:rPr>
            </w:pPr>
            <w:r>
              <w:rPr>
                <w:rFonts w:ascii="Calibri" w:eastAsia="Times New Roman" w:hAnsi="Calibri" w:cs="Times New Roman"/>
              </w:rPr>
              <w:t>97.5</w:t>
            </w:r>
          </w:p>
        </w:tc>
      </w:tr>
      <w:tr w:rsidR="00F36D61" w:rsidRPr="00D84E39" w14:paraId="2FF3A405" w14:textId="77777777" w:rsidTr="00F36D61">
        <w:trPr>
          <w:trHeight w:val="600"/>
          <w:jc w:val="center"/>
        </w:trPr>
        <w:tc>
          <w:tcPr>
            <w:tcW w:w="742" w:type="pct"/>
            <w:shd w:val="clear" w:color="auto" w:fill="0070C0"/>
            <w:noWrap/>
            <w:vAlign w:val="bottom"/>
            <w:hideMark/>
          </w:tcPr>
          <w:p w14:paraId="0134170A" w14:textId="77777777" w:rsidR="00F36D61" w:rsidRPr="001D740C" w:rsidRDefault="00F36D61" w:rsidP="00F36D61">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40" w:type="pct"/>
            <w:vAlign w:val="bottom"/>
          </w:tcPr>
          <w:p w14:paraId="46647C80" w14:textId="77777777" w:rsidR="00F36D61" w:rsidRPr="00D84E39" w:rsidRDefault="00F36D61" w:rsidP="00F36D61">
            <w:pPr>
              <w:rPr>
                <w:rFonts w:ascii="Calibri" w:eastAsia="Times New Roman" w:hAnsi="Calibri" w:cs="Times New Roman"/>
              </w:rPr>
            </w:pPr>
            <w:r>
              <w:rPr>
                <w:u w:color="000000"/>
              </w:rPr>
              <w:t>Between 70</w:t>
            </w:r>
            <w:r w:rsidRPr="00833748">
              <w:rPr>
                <w:u w:color="000000"/>
              </w:rPr>
              <w:t xml:space="preserve"> </w:t>
            </w:r>
            <w:r>
              <w:rPr>
                <w:u w:color="000000"/>
              </w:rPr>
              <w:t xml:space="preserve">and 84.9 </w:t>
            </w:r>
            <w:r w:rsidRPr="00833748">
              <w:rPr>
                <w:u w:color="000000"/>
              </w:rPr>
              <w:t>percent 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1809183D" w14:textId="77777777" w:rsidR="00F36D61" w:rsidRDefault="00F36D61" w:rsidP="00F36D61">
            <w:pPr>
              <w:jc w:val="center"/>
              <w:rPr>
                <w:u w:color="000000"/>
              </w:rPr>
            </w:pPr>
            <w:r>
              <w:rPr>
                <w:u w:color="000000"/>
              </w:rPr>
              <w:t>85.0</w:t>
            </w:r>
          </w:p>
        </w:tc>
      </w:tr>
      <w:tr w:rsidR="00F36D61" w:rsidRPr="00D84E39" w14:paraId="5DBBFC23" w14:textId="77777777" w:rsidTr="00F36D61">
        <w:trPr>
          <w:trHeight w:val="600"/>
          <w:jc w:val="center"/>
        </w:trPr>
        <w:tc>
          <w:tcPr>
            <w:tcW w:w="742" w:type="pct"/>
            <w:shd w:val="clear" w:color="auto" w:fill="9BBB59" w:themeFill="accent3"/>
            <w:noWrap/>
            <w:vAlign w:val="bottom"/>
            <w:hideMark/>
          </w:tcPr>
          <w:p w14:paraId="30E80EB6" w14:textId="77777777" w:rsidR="00F36D61" w:rsidRPr="001D740C" w:rsidRDefault="00F36D61" w:rsidP="00F36D61">
            <w:pPr>
              <w:jc w:val="center"/>
              <w:rPr>
                <w:rFonts w:ascii="Calibri" w:eastAsia="Times New Roman" w:hAnsi="Calibri" w:cs="Times New Roman"/>
                <w:b/>
                <w:bCs/>
              </w:rPr>
            </w:pPr>
            <w:r>
              <w:rPr>
                <w:rFonts w:ascii="Calibri" w:eastAsia="Times New Roman" w:hAnsi="Calibri" w:cs="Times New Roman"/>
                <w:b/>
                <w:bCs/>
              </w:rPr>
              <w:t>Adequate</w:t>
            </w:r>
          </w:p>
        </w:tc>
        <w:tc>
          <w:tcPr>
            <w:tcW w:w="3440" w:type="pct"/>
            <w:vAlign w:val="bottom"/>
          </w:tcPr>
          <w:p w14:paraId="51892D1D" w14:textId="77777777" w:rsidR="00F36D61" w:rsidRPr="00D84E39" w:rsidRDefault="00F36D61" w:rsidP="00F36D61">
            <w:pPr>
              <w:rPr>
                <w:rFonts w:ascii="Calibri" w:eastAsia="Times New Roman" w:hAnsi="Calibri" w:cs="Times New Roman"/>
              </w:rPr>
            </w:pPr>
            <w:r>
              <w:rPr>
                <w:u w:color="000000"/>
              </w:rPr>
              <w:t>Between 55</w:t>
            </w:r>
            <w:r w:rsidRPr="00833748">
              <w:rPr>
                <w:u w:color="000000"/>
              </w:rPr>
              <w:t xml:space="preserve"> </w:t>
            </w:r>
            <w:r>
              <w:rPr>
                <w:u w:color="000000"/>
              </w:rPr>
              <w:t xml:space="preserve">and 69.9 </w:t>
            </w:r>
            <w:r w:rsidRPr="00833748">
              <w:rPr>
                <w:u w:color="000000"/>
              </w:rPr>
              <w:t>percent 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169498F0" w14:textId="77777777" w:rsidR="00F36D61" w:rsidRDefault="00F36D61" w:rsidP="00F36D61">
            <w:pPr>
              <w:jc w:val="center"/>
              <w:rPr>
                <w:u w:color="000000"/>
              </w:rPr>
            </w:pPr>
            <w:r>
              <w:rPr>
                <w:u w:color="000000"/>
              </w:rPr>
              <w:t>62.5</w:t>
            </w:r>
          </w:p>
        </w:tc>
      </w:tr>
      <w:tr w:rsidR="00F36D61" w:rsidRPr="00D84E39" w14:paraId="26C8CAF3" w14:textId="77777777" w:rsidTr="00F36D61">
        <w:trPr>
          <w:trHeight w:val="600"/>
          <w:jc w:val="center"/>
        </w:trPr>
        <w:tc>
          <w:tcPr>
            <w:tcW w:w="742" w:type="pct"/>
            <w:shd w:val="clear" w:color="auto" w:fill="FFFF00"/>
            <w:noWrap/>
            <w:vAlign w:val="bottom"/>
          </w:tcPr>
          <w:p w14:paraId="0FC4B976" w14:textId="77777777" w:rsidR="00F36D61" w:rsidRDefault="00F36D61" w:rsidP="00F36D61">
            <w:pPr>
              <w:jc w:val="center"/>
              <w:rPr>
                <w:rFonts w:ascii="Calibri" w:eastAsia="Times New Roman" w:hAnsi="Calibri" w:cs="Times New Roman"/>
                <w:b/>
                <w:bCs/>
              </w:rPr>
            </w:pPr>
            <w:r>
              <w:rPr>
                <w:rFonts w:ascii="Calibri" w:eastAsia="Times New Roman" w:hAnsi="Calibri" w:cs="Times New Roman"/>
                <w:b/>
                <w:bCs/>
              </w:rPr>
              <w:t>Approaches</w:t>
            </w:r>
          </w:p>
        </w:tc>
        <w:tc>
          <w:tcPr>
            <w:tcW w:w="3440" w:type="pct"/>
            <w:vAlign w:val="bottom"/>
          </w:tcPr>
          <w:p w14:paraId="090BA92E" w14:textId="77777777" w:rsidR="00F36D61" w:rsidRDefault="00F36D61" w:rsidP="00F36D61">
            <w:pPr>
              <w:rPr>
                <w:rFonts w:ascii="Calibri" w:eastAsia="Times New Roman" w:hAnsi="Calibri" w:cs="Times New Roman"/>
              </w:rPr>
            </w:pPr>
            <w:r>
              <w:rPr>
                <w:u w:color="000000"/>
              </w:rPr>
              <w:t>Between 40</w:t>
            </w:r>
            <w:r w:rsidRPr="00833748">
              <w:rPr>
                <w:u w:color="000000"/>
              </w:rPr>
              <w:t xml:space="preserve"> </w:t>
            </w:r>
            <w:r>
              <w:rPr>
                <w:u w:color="000000"/>
              </w:rPr>
              <w:t xml:space="preserve">and 54.9 </w:t>
            </w:r>
            <w:r w:rsidRPr="00833748">
              <w:rPr>
                <w:u w:color="000000"/>
              </w:rPr>
              <w:t>percent 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1F65FDDD" w14:textId="77777777" w:rsidR="00F36D61" w:rsidRDefault="00F36D61" w:rsidP="00F36D61">
            <w:pPr>
              <w:jc w:val="center"/>
              <w:rPr>
                <w:u w:color="000000"/>
              </w:rPr>
            </w:pPr>
            <w:r>
              <w:rPr>
                <w:u w:color="000000"/>
              </w:rPr>
              <w:t>37.5</w:t>
            </w:r>
          </w:p>
        </w:tc>
      </w:tr>
      <w:tr w:rsidR="00F36D61" w:rsidRPr="00D84E39" w14:paraId="26EF02FD" w14:textId="77777777" w:rsidTr="00F36D61">
        <w:trPr>
          <w:trHeight w:val="600"/>
          <w:jc w:val="center"/>
        </w:trPr>
        <w:tc>
          <w:tcPr>
            <w:tcW w:w="742" w:type="pct"/>
            <w:shd w:val="clear" w:color="auto" w:fill="FFC000"/>
            <w:noWrap/>
            <w:vAlign w:val="bottom"/>
          </w:tcPr>
          <w:p w14:paraId="001E8095" w14:textId="77777777" w:rsidR="00F36D61" w:rsidRPr="001D740C" w:rsidRDefault="00F36D61" w:rsidP="00F36D61">
            <w:pPr>
              <w:jc w:val="center"/>
              <w:rPr>
                <w:rFonts w:ascii="Calibri" w:eastAsia="Times New Roman" w:hAnsi="Calibri" w:cs="Times New Roman"/>
                <w:b/>
                <w:bCs/>
              </w:rPr>
            </w:pPr>
            <w:r>
              <w:rPr>
                <w:rFonts w:ascii="Calibri" w:eastAsia="Times New Roman" w:hAnsi="Calibri" w:cs="Times New Roman"/>
                <w:b/>
                <w:bCs/>
              </w:rPr>
              <w:t>Unsatisfactory</w:t>
            </w:r>
          </w:p>
        </w:tc>
        <w:tc>
          <w:tcPr>
            <w:tcW w:w="3440" w:type="pct"/>
            <w:vAlign w:val="bottom"/>
          </w:tcPr>
          <w:p w14:paraId="2D377F5D" w14:textId="77777777" w:rsidR="00F36D61" w:rsidRDefault="00F36D61" w:rsidP="00F36D61">
            <w:pPr>
              <w:rPr>
                <w:rFonts w:ascii="Calibri" w:eastAsia="Times New Roman" w:hAnsi="Calibri" w:cs="Times New Roman"/>
              </w:rPr>
            </w:pPr>
            <w:r>
              <w:rPr>
                <w:u w:color="000000"/>
              </w:rPr>
              <w:t>Between 25</w:t>
            </w:r>
            <w:r w:rsidRPr="00833748">
              <w:rPr>
                <w:u w:color="000000"/>
              </w:rPr>
              <w:t xml:space="preserve"> </w:t>
            </w:r>
            <w:r>
              <w:rPr>
                <w:u w:color="000000"/>
              </w:rPr>
              <w:t xml:space="preserve">and 39.9 </w:t>
            </w:r>
            <w:r w:rsidRPr="00833748">
              <w:rPr>
                <w:u w:color="000000"/>
              </w:rPr>
              <w:t>percent 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451DE535" w14:textId="77777777" w:rsidR="00F36D61" w:rsidRDefault="00F36D61" w:rsidP="00F36D61">
            <w:pPr>
              <w:jc w:val="center"/>
              <w:rPr>
                <w:u w:color="000000"/>
              </w:rPr>
            </w:pPr>
            <w:r>
              <w:rPr>
                <w:u w:color="000000"/>
              </w:rPr>
              <w:t>15.0</w:t>
            </w:r>
          </w:p>
        </w:tc>
      </w:tr>
      <w:tr w:rsidR="00F36D61" w:rsidRPr="00D84E39" w14:paraId="41AB2C3D" w14:textId="77777777" w:rsidTr="00F36D61">
        <w:trPr>
          <w:trHeight w:val="600"/>
          <w:jc w:val="center"/>
        </w:trPr>
        <w:tc>
          <w:tcPr>
            <w:tcW w:w="742" w:type="pct"/>
            <w:shd w:val="clear" w:color="auto" w:fill="C0504D" w:themeFill="accent2"/>
            <w:noWrap/>
            <w:vAlign w:val="bottom"/>
            <w:hideMark/>
          </w:tcPr>
          <w:p w14:paraId="3A526A7E" w14:textId="77777777" w:rsidR="00F36D61" w:rsidRPr="001D740C" w:rsidRDefault="00F36D61" w:rsidP="00F36D61">
            <w:pPr>
              <w:jc w:val="center"/>
              <w:rPr>
                <w:rFonts w:ascii="Calibri" w:eastAsia="Times New Roman" w:hAnsi="Calibri" w:cs="Times New Roman"/>
                <w:b/>
                <w:bCs/>
              </w:rPr>
            </w:pPr>
            <w:r>
              <w:rPr>
                <w:rFonts w:ascii="Calibri" w:eastAsia="Times New Roman" w:hAnsi="Calibri" w:cs="Times New Roman"/>
                <w:b/>
                <w:bCs/>
              </w:rPr>
              <w:t>Critical</w:t>
            </w:r>
          </w:p>
        </w:tc>
        <w:tc>
          <w:tcPr>
            <w:tcW w:w="3440" w:type="pct"/>
            <w:vAlign w:val="bottom"/>
          </w:tcPr>
          <w:p w14:paraId="06CC41AA" w14:textId="77777777" w:rsidR="00F36D61" w:rsidRPr="00D84E39" w:rsidRDefault="00F36D61" w:rsidP="00F36D61">
            <w:pPr>
              <w:rPr>
                <w:rFonts w:ascii="Calibri" w:eastAsia="Times New Roman" w:hAnsi="Calibri" w:cs="Times New Roman"/>
              </w:rPr>
            </w:pPr>
            <w:r>
              <w:rPr>
                <w:rFonts w:ascii="Calibri" w:eastAsia="Times New Roman" w:hAnsi="Calibri" w:cs="Times New Roman"/>
              </w:rPr>
              <w:t xml:space="preserve">Less than 25 percent </w:t>
            </w:r>
            <w:r w:rsidRPr="00833748">
              <w:rPr>
                <w:u w:color="000000"/>
              </w:rPr>
              <w:t>of non-graduating st</w:t>
            </w:r>
            <w:r>
              <w:rPr>
                <w:u w:color="000000"/>
              </w:rPr>
              <w:t xml:space="preserve">udents from the previous year (as of the last day of the school year) </w:t>
            </w:r>
            <w:r w:rsidRPr="00833748">
              <w:rPr>
                <w:u w:color="000000"/>
              </w:rPr>
              <w:t>re-enroll</w:t>
            </w:r>
            <w:r>
              <w:rPr>
                <w:u w:color="000000"/>
              </w:rPr>
              <w:t>ed</w:t>
            </w:r>
            <w:r w:rsidRPr="00833748">
              <w:rPr>
                <w:u w:color="000000"/>
              </w:rPr>
              <w:t xml:space="preserve"> in the </w:t>
            </w:r>
            <w:r>
              <w:rPr>
                <w:u w:color="000000"/>
              </w:rPr>
              <w:t xml:space="preserve">current year (as of October validation </w:t>
            </w:r>
            <w:r w:rsidRPr="00833748">
              <w:rPr>
                <w:u w:color="000000"/>
              </w:rPr>
              <w:t>day).</w:t>
            </w:r>
          </w:p>
        </w:tc>
        <w:tc>
          <w:tcPr>
            <w:tcW w:w="818" w:type="pct"/>
            <w:vAlign w:val="bottom"/>
          </w:tcPr>
          <w:p w14:paraId="64FFBAB9" w14:textId="77777777" w:rsidR="00F36D61" w:rsidRDefault="00F36D61" w:rsidP="00F36D61">
            <w:pPr>
              <w:jc w:val="center"/>
              <w:rPr>
                <w:rFonts w:ascii="Calibri" w:eastAsia="Times New Roman" w:hAnsi="Calibri" w:cs="Times New Roman"/>
              </w:rPr>
            </w:pPr>
            <w:r>
              <w:rPr>
                <w:rFonts w:ascii="Calibri" w:eastAsia="Times New Roman" w:hAnsi="Calibri" w:cs="Times New Roman"/>
              </w:rPr>
              <w:t>2.5</w:t>
            </w:r>
          </w:p>
        </w:tc>
      </w:tr>
    </w:tbl>
    <w:p w14:paraId="5ECD029D" w14:textId="77777777" w:rsidR="00BC7098" w:rsidRDefault="00BC7098" w:rsidP="005C577F">
      <w:pPr>
        <w:rPr>
          <w:rFonts w:eastAsia="Calibri"/>
        </w:rPr>
      </w:pPr>
    </w:p>
    <w:p w14:paraId="79EA34CC" w14:textId="77777777" w:rsidR="00920590" w:rsidRDefault="00A83542" w:rsidP="00920590">
      <w:pPr>
        <w:pStyle w:val="Heading1"/>
        <w:rPr>
          <w:rFonts w:eastAsia="Calibri"/>
        </w:rPr>
      </w:pPr>
      <w:bookmarkStart w:id="67" w:name="_Toc474838423"/>
      <w:bookmarkStart w:id="68" w:name="_Toc474940166"/>
      <w:r>
        <w:rPr>
          <w:rFonts w:eastAsia="Calibri"/>
        </w:rPr>
        <w:t>Student Engagement Measure 4</w:t>
      </w:r>
      <w:r w:rsidR="00920590">
        <w:rPr>
          <w:rFonts w:eastAsia="Calibri"/>
        </w:rPr>
        <w:t xml:space="preserve">.b. </w:t>
      </w:r>
      <w:bookmarkEnd w:id="67"/>
      <w:r w:rsidR="00396D0D">
        <w:rPr>
          <w:rFonts w:eastAsia="Calibri"/>
        </w:rPr>
        <w:t>Student Attendance</w:t>
      </w:r>
      <w:bookmarkEnd w:id="68"/>
    </w:p>
    <w:p w14:paraId="28F8684D" w14:textId="77777777" w:rsidR="00770454" w:rsidRPr="00FE763A" w:rsidRDefault="00770454" w:rsidP="00920590">
      <w:pPr>
        <w:rPr>
          <w:rFonts w:eastAsia="Calibri"/>
          <w:sz w:val="22"/>
          <w:szCs w:val="22"/>
        </w:rPr>
      </w:pPr>
      <w:r w:rsidRPr="00FE763A">
        <w:rPr>
          <w:rFonts w:eastAsia="Calibri"/>
          <w:sz w:val="22"/>
          <w:szCs w:val="22"/>
          <w:u w:val="single"/>
        </w:rPr>
        <w:t>Metric</w:t>
      </w:r>
      <w:r w:rsidRPr="00FE763A">
        <w:rPr>
          <w:rFonts w:eastAsia="Calibri"/>
          <w:sz w:val="22"/>
          <w:szCs w:val="22"/>
        </w:rPr>
        <w:t>: Average daily attendance rates</w:t>
      </w:r>
    </w:p>
    <w:p w14:paraId="5CC624EB" w14:textId="77777777" w:rsidR="00770454" w:rsidRPr="00FE763A" w:rsidRDefault="00770454" w:rsidP="00920590">
      <w:pPr>
        <w:rPr>
          <w:rFonts w:eastAsia="Calibri"/>
          <w:sz w:val="22"/>
          <w:szCs w:val="22"/>
        </w:rPr>
      </w:pPr>
      <w:r w:rsidRPr="00FE763A">
        <w:rPr>
          <w:rFonts w:eastAsia="Calibri"/>
          <w:sz w:val="22"/>
          <w:szCs w:val="22"/>
          <w:u w:val="single"/>
        </w:rPr>
        <w:t>Applicable students</w:t>
      </w:r>
      <w:r w:rsidRPr="00FE763A">
        <w:rPr>
          <w:rFonts w:eastAsia="Calibri"/>
          <w:sz w:val="22"/>
          <w:szCs w:val="22"/>
        </w:rPr>
        <w:t>: All students, all grades</w:t>
      </w:r>
    </w:p>
    <w:p w14:paraId="38832822" w14:textId="77777777" w:rsidR="00B574DA" w:rsidRPr="00FE763A" w:rsidRDefault="00B574DA" w:rsidP="00920590">
      <w:pPr>
        <w:rPr>
          <w:rFonts w:eastAsia="Calibri"/>
          <w:sz w:val="22"/>
          <w:szCs w:val="22"/>
        </w:rPr>
      </w:pPr>
      <w:r w:rsidRPr="00FE763A">
        <w:rPr>
          <w:rFonts w:eastAsia="Calibri"/>
          <w:sz w:val="22"/>
          <w:szCs w:val="22"/>
          <w:u w:val="single"/>
        </w:rPr>
        <w:t>Target:</w:t>
      </w:r>
      <w:r w:rsidRPr="00FE763A">
        <w:rPr>
          <w:rFonts w:eastAsia="Calibri"/>
          <w:sz w:val="22"/>
          <w:szCs w:val="22"/>
        </w:rPr>
        <w:t xml:space="preserve"> Each year, the average daily attendance rate will be at least 87%, based on students that are conti</w:t>
      </w:r>
      <w:r w:rsidR="0012753F" w:rsidRPr="00FE763A">
        <w:rPr>
          <w:rFonts w:eastAsia="Calibri"/>
          <w:sz w:val="22"/>
          <w:szCs w:val="22"/>
        </w:rPr>
        <w:t>nuously enrolled for at least 91</w:t>
      </w:r>
      <w:r w:rsidRPr="00FE763A">
        <w:rPr>
          <w:rFonts w:eastAsia="Calibri"/>
          <w:sz w:val="22"/>
          <w:szCs w:val="22"/>
        </w:rPr>
        <w:t xml:space="preserve"> days of the school year</w:t>
      </w:r>
      <w:r w:rsidR="00770454" w:rsidRPr="00FE763A">
        <w:rPr>
          <w:rFonts w:eastAsia="Calibri"/>
          <w:sz w:val="22"/>
          <w:szCs w:val="22"/>
        </w:rPr>
        <w:t>.</w:t>
      </w:r>
    </w:p>
    <w:p w14:paraId="1AA7753F" w14:textId="77777777" w:rsidR="00AD5E86" w:rsidRPr="00FE763A" w:rsidRDefault="00AD5E86" w:rsidP="00920590">
      <w:pPr>
        <w:rPr>
          <w:rFonts w:eastAsia="Calibri"/>
          <w:sz w:val="22"/>
          <w:szCs w:val="22"/>
        </w:rPr>
      </w:pPr>
      <w:r w:rsidRPr="00FE763A">
        <w:rPr>
          <w:rFonts w:eastAsia="Calibri"/>
          <w:sz w:val="22"/>
          <w:szCs w:val="22"/>
        </w:rPr>
        <w:t>Momentum performed a rank distribution on nearly 900 alternative schools across the country—using publically available school data on attendance rates from 2013-14 and 2014-15. The following tables outlines the respective attendance rates found at the 25</w:t>
      </w:r>
      <w:r w:rsidRPr="00FE763A">
        <w:rPr>
          <w:rFonts w:eastAsia="Calibri"/>
          <w:sz w:val="22"/>
          <w:szCs w:val="22"/>
          <w:vertAlign w:val="superscript"/>
        </w:rPr>
        <w:t>th</w:t>
      </w:r>
      <w:r w:rsidRPr="00FE763A">
        <w:rPr>
          <w:rFonts w:eastAsia="Calibri"/>
          <w:sz w:val="22"/>
          <w:szCs w:val="22"/>
        </w:rPr>
        <w:t xml:space="preserve"> percentile, the 50</w:t>
      </w:r>
      <w:r w:rsidRPr="00FE763A">
        <w:rPr>
          <w:rFonts w:eastAsia="Calibri"/>
          <w:sz w:val="22"/>
          <w:szCs w:val="22"/>
          <w:vertAlign w:val="superscript"/>
        </w:rPr>
        <w:t>th</w:t>
      </w:r>
      <w:r w:rsidRPr="00FE763A">
        <w:rPr>
          <w:rFonts w:eastAsia="Calibri"/>
          <w:sz w:val="22"/>
          <w:szCs w:val="22"/>
        </w:rPr>
        <w:t xml:space="preserve"> percentile (also known as the median), and the 75</w:t>
      </w:r>
      <w:r w:rsidRPr="00FE763A">
        <w:rPr>
          <w:rFonts w:eastAsia="Calibri"/>
          <w:sz w:val="22"/>
          <w:szCs w:val="22"/>
          <w:vertAlign w:val="superscript"/>
        </w:rPr>
        <w:t>th</w:t>
      </w:r>
      <w:r w:rsidRPr="00FE763A">
        <w:rPr>
          <w:rFonts w:eastAsia="Calibri"/>
          <w:sz w:val="22"/>
          <w:szCs w:val="22"/>
        </w:rPr>
        <w:t xml:space="preserve"> percentile.</w:t>
      </w:r>
    </w:p>
    <w:tbl>
      <w:tblPr>
        <w:tblStyle w:val="GridTable4-Accent11"/>
        <w:tblW w:w="0" w:type="auto"/>
        <w:jc w:val="center"/>
        <w:tblLook w:val="04A0" w:firstRow="1" w:lastRow="0" w:firstColumn="1" w:lastColumn="0" w:noHBand="0" w:noVBand="1"/>
      </w:tblPr>
      <w:tblGrid>
        <w:gridCol w:w="1055"/>
        <w:gridCol w:w="2990"/>
      </w:tblGrid>
      <w:tr w:rsidR="00AD5E86" w:rsidRPr="00AD5E86" w14:paraId="19F15D91" w14:textId="77777777" w:rsidTr="002647C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045" w:type="dxa"/>
            <w:gridSpan w:val="2"/>
            <w:noWrap/>
          </w:tcPr>
          <w:p w14:paraId="2549C403" w14:textId="77777777" w:rsidR="00AD5E86" w:rsidRDefault="00AD5E86" w:rsidP="00AD5E86">
            <w:pPr>
              <w:jc w:val="center"/>
              <w:rPr>
                <w:rFonts w:eastAsia="Calibri"/>
              </w:rPr>
            </w:pPr>
            <w:r>
              <w:rPr>
                <w:rFonts w:eastAsia="Calibri"/>
              </w:rPr>
              <w:t>School-level attendance rates from 857 alternative schools across the country</w:t>
            </w:r>
          </w:p>
        </w:tc>
      </w:tr>
      <w:tr w:rsidR="00AD5E86" w:rsidRPr="00AD5E86" w14:paraId="5C14D08B" w14:textId="77777777" w:rsidTr="002647C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55" w:type="dxa"/>
            <w:noWrap/>
          </w:tcPr>
          <w:p w14:paraId="5B9F392C" w14:textId="77777777" w:rsidR="00AD5E86" w:rsidRPr="00AD5E86" w:rsidRDefault="00AD5E86" w:rsidP="00AD5E86">
            <w:pPr>
              <w:jc w:val="center"/>
              <w:rPr>
                <w:rFonts w:eastAsia="Calibri"/>
              </w:rPr>
            </w:pPr>
            <w:r>
              <w:rPr>
                <w:rFonts w:eastAsia="Calibri"/>
              </w:rPr>
              <w:t>Percentile</w:t>
            </w:r>
          </w:p>
        </w:tc>
        <w:tc>
          <w:tcPr>
            <w:tcW w:w="2990" w:type="dxa"/>
            <w:noWrap/>
          </w:tcPr>
          <w:p w14:paraId="0661415A" w14:textId="77777777" w:rsidR="00AD5E86" w:rsidRPr="00AD5E86" w:rsidRDefault="00AD5E86" w:rsidP="00AD5E86">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Attendance Rate</w:t>
            </w:r>
          </w:p>
        </w:tc>
      </w:tr>
      <w:tr w:rsidR="00AD5E86" w:rsidRPr="00AD5E86" w14:paraId="228DB696" w14:textId="77777777" w:rsidTr="002647C5">
        <w:trPr>
          <w:trHeight w:val="300"/>
          <w:jc w:val="center"/>
        </w:trPr>
        <w:tc>
          <w:tcPr>
            <w:cnfStyle w:val="001000000000" w:firstRow="0" w:lastRow="0" w:firstColumn="1" w:lastColumn="0" w:oddVBand="0" w:evenVBand="0" w:oddHBand="0" w:evenHBand="0" w:firstRowFirstColumn="0" w:firstRowLastColumn="0" w:lastRowFirstColumn="0" w:lastRowLastColumn="0"/>
            <w:tcW w:w="1055" w:type="dxa"/>
            <w:noWrap/>
            <w:hideMark/>
          </w:tcPr>
          <w:p w14:paraId="25913CD7" w14:textId="77777777" w:rsidR="00AD5E86" w:rsidRPr="00AD5E86" w:rsidRDefault="00AD5E86" w:rsidP="00AD5E86">
            <w:pPr>
              <w:jc w:val="center"/>
              <w:rPr>
                <w:rFonts w:eastAsia="Calibri"/>
              </w:rPr>
            </w:pPr>
            <w:r w:rsidRPr="00AD5E86">
              <w:rPr>
                <w:rFonts w:eastAsia="Calibri"/>
              </w:rPr>
              <w:t>25</w:t>
            </w:r>
            <w:r>
              <w:rPr>
                <w:rFonts w:eastAsia="Calibri"/>
              </w:rPr>
              <w:t>th</w:t>
            </w:r>
          </w:p>
        </w:tc>
        <w:tc>
          <w:tcPr>
            <w:tcW w:w="2990" w:type="dxa"/>
            <w:noWrap/>
            <w:hideMark/>
          </w:tcPr>
          <w:p w14:paraId="4FD7BD80" w14:textId="77777777" w:rsidR="00AD5E86" w:rsidRPr="00AD5E86" w:rsidRDefault="00AD5E86" w:rsidP="00AD5E86">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79.2</w:t>
            </w:r>
          </w:p>
        </w:tc>
      </w:tr>
      <w:tr w:rsidR="00AD5E86" w:rsidRPr="00AD5E86" w14:paraId="5B10987E" w14:textId="77777777" w:rsidTr="002647C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055" w:type="dxa"/>
            <w:noWrap/>
            <w:hideMark/>
          </w:tcPr>
          <w:p w14:paraId="31A25F3A" w14:textId="77777777" w:rsidR="00AD5E86" w:rsidRPr="00AD5E86" w:rsidRDefault="00AD5E86" w:rsidP="00AD5E86">
            <w:pPr>
              <w:jc w:val="center"/>
              <w:rPr>
                <w:rFonts w:eastAsia="Calibri"/>
              </w:rPr>
            </w:pPr>
            <w:r w:rsidRPr="00AD5E86">
              <w:rPr>
                <w:rFonts w:eastAsia="Calibri"/>
              </w:rPr>
              <w:t>50</w:t>
            </w:r>
            <w:r>
              <w:rPr>
                <w:rFonts w:eastAsia="Calibri"/>
              </w:rPr>
              <w:t>th</w:t>
            </w:r>
          </w:p>
        </w:tc>
        <w:tc>
          <w:tcPr>
            <w:tcW w:w="2990" w:type="dxa"/>
            <w:noWrap/>
            <w:hideMark/>
          </w:tcPr>
          <w:p w14:paraId="3D2BF988" w14:textId="77777777" w:rsidR="00AD5E86" w:rsidRPr="00AD5E86" w:rsidRDefault="00AD5E86" w:rsidP="00AD5E86">
            <w:pPr>
              <w:jc w:val="cente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86.3</w:t>
            </w:r>
          </w:p>
        </w:tc>
      </w:tr>
      <w:tr w:rsidR="00AD5E86" w:rsidRPr="00AD5E86" w14:paraId="499F948E" w14:textId="77777777" w:rsidTr="002647C5">
        <w:trPr>
          <w:trHeight w:val="300"/>
          <w:jc w:val="center"/>
        </w:trPr>
        <w:tc>
          <w:tcPr>
            <w:cnfStyle w:val="001000000000" w:firstRow="0" w:lastRow="0" w:firstColumn="1" w:lastColumn="0" w:oddVBand="0" w:evenVBand="0" w:oddHBand="0" w:evenHBand="0" w:firstRowFirstColumn="0" w:firstRowLastColumn="0" w:lastRowFirstColumn="0" w:lastRowLastColumn="0"/>
            <w:tcW w:w="1055" w:type="dxa"/>
            <w:noWrap/>
            <w:hideMark/>
          </w:tcPr>
          <w:p w14:paraId="26B6FB8F" w14:textId="77777777" w:rsidR="00AD5E86" w:rsidRPr="00AD5E86" w:rsidRDefault="00AD5E86" w:rsidP="00AD5E86">
            <w:pPr>
              <w:jc w:val="center"/>
              <w:rPr>
                <w:rFonts w:eastAsia="Calibri"/>
              </w:rPr>
            </w:pPr>
            <w:r w:rsidRPr="00AD5E86">
              <w:rPr>
                <w:rFonts w:eastAsia="Calibri"/>
              </w:rPr>
              <w:t>75</w:t>
            </w:r>
            <w:r>
              <w:rPr>
                <w:rFonts w:eastAsia="Calibri"/>
              </w:rPr>
              <w:t>th</w:t>
            </w:r>
          </w:p>
        </w:tc>
        <w:tc>
          <w:tcPr>
            <w:tcW w:w="2990" w:type="dxa"/>
            <w:noWrap/>
            <w:hideMark/>
          </w:tcPr>
          <w:p w14:paraId="54DD51FF" w14:textId="77777777" w:rsidR="00AD5E86" w:rsidRPr="00AD5E86" w:rsidRDefault="00AD5E86" w:rsidP="00AD5E86">
            <w:pPr>
              <w:jc w:val="cente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91.8</w:t>
            </w:r>
          </w:p>
        </w:tc>
      </w:tr>
    </w:tbl>
    <w:p w14:paraId="106E89FE" w14:textId="77777777" w:rsidR="00AD5E86" w:rsidRPr="00FE763A" w:rsidRDefault="00AD5E86" w:rsidP="00920590">
      <w:pPr>
        <w:rPr>
          <w:rFonts w:eastAsia="Calibri"/>
          <w:sz w:val="22"/>
          <w:szCs w:val="22"/>
        </w:rPr>
      </w:pPr>
      <w:r w:rsidRPr="00FE763A">
        <w:rPr>
          <w:rFonts w:eastAsia="Calibri"/>
          <w:sz w:val="22"/>
          <w:szCs w:val="22"/>
        </w:rPr>
        <w:t>These data were used to inf</w:t>
      </w:r>
      <w:r w:rsidR="00BC1BAC" w:rsidRPr="00FE763A">
        <w:rPr>
          <w:rFonts w:eastAsia="Calibri"/>
          <w:sz w:val="22"/>
          <w:szCs w:val="22"/>
        </w:rPr>
        <w:t>orm where Beacon set the school’s</w:t>
      </w:r>
      <w:r w:rsidRPr="00FE763A">
        <w:rPr>
          <w:rFonts w:eastAsia="Calibri"/>
          <w:sz w:val="22"/>
          <w:szCs w:val="22"/>
        </w:rPr>
        <w:t xml:space="preserve"> annual attendance rate target.</w:t>
      </w:r>
    </w:p>
    <w:p w14:paraId="7BB07D6F" w14:textId="77777777" w:rsidR="00BC1BAC" w:rsidRDefault="00BC1BAC" w:rsidP="00BC1BAC">
      <w:pPr>
        <w:pStyle w:val="Heading2"/>
        <w:rPr>
          <w:rFonts w:eastAsia="Calibri"/>
        </w:rPr>
      </w:pPr>
      <w:bookmarkStart w:id="69" w:name="_Toc474843265"/>
      <w:bookmarkStart w:id="70" w:name="_Toc474940167"/>
      <w:r>
        <w:rPr>
          <w:rFonts w:eastAsia="Calibri"/>
        </w:rPr>
        <w:lastRenderedPageBreak/>
        <w:t>Computing the Metric</w:t>
      </w:r>
      <w:bookmarkEnd w:id="69"/>
      <w:bookmarkEnd w:id="70"/>
    </w:p>
    <w:p w14:paraId="3CC8F2F3" w14:textId="77777777" w:rsidR="00BC1BAC" w:rsidRPr="00FE763A" w:rsidRDefault="00BC1BAC" w:rsidP="00920590">
      <w:pPr>
        <w:rPr>
          <w:rFonts w:eastAsia="Calibri"/>
          <w:sz w:val="22"/>
          <w:szCs w:val="22"/>
        </w:rPr>
      </w:pPr>
      <w:r w:rsidRPr="00FE763A">
        <w:rPr>
          <w:rFonts w:eastAsia="Calibri"/>
          <w:sz w:val="22"/>
          <w:szCs w:val="22"/>
        </w:rPr>
        <w:t>Average daily attendance is computed by summing the total number of days attended by all students and dividing that by the total days enrolled for all students. For this metric, however, the students included in the computation of average daily attendance will be limited to those that were consec</w:t>
      </w:r>
      <w:r w:rsidR="00FE763A">
        <w:rPr>
          <w:rFonts w:eastAsia="Calibri"/>
          <w:sz w:val="22"/>
          <w:szCs w:val="22"/>
        </w:rPr>
        <w:t>utively enrolled in Beacon Academy for at least 91</w:t>
      </w:r>
      <w:r w:rsidRPr="00FE763A">
        <w:rPr>
          <w:rFonts w:eastAsia="Calibri"/>
          <w:sz w:val="22"/>
          <w:szCs w:val="22"/>
        </w:rPr>
        <w:t xml:space="preserve"> school days.</w:t>
      </w:r>
    </w:p>
    <w:p w14:paraId="041D3636" w14:textId="77777777" w:rsidR="00BC1BAC" w:rsidRDefault="00BC1BAC" w:rsidP="00BC1BAC">
      <w:pPr>
        <w:pStyle w:val="Heading3"/>
        <w:rPr>
          <w:rFonts w:eastAsia="Calibri"/>
        </w:rPr>
      </w:pPr>
      <w:bookmarkStart w:id="71" w:name="_Toc474843266"/>
      <w:bookmarkStart w:id="72" w:name="_Toc474940168"/>
      <w:r>
        <w:rPr>
          <w:rFonts w:eastAsia="Calibri"/>
        </w:rPr>
        <w:t>Numerator</w:t>
      </w:r>
      <w:bookmarkEnd w:id="71"/>
      <w:bookmarkEnd w:id="72"/>
    </w:p>
    <w:p w14:paraId="6FB5789A" w14:textId="77777777" w:rsidR="00BC1BAC" w:rsidRDefault="009A732E" w:rsidP="00BC1BAC">
      <w:pPr>
        <w:jc w:val="center"/>
      </w:pPr>
      <w:r>
        <w:t xml:space="preserve">(# of days present </w:t>
      </w:r>
      <w:r w:rsidRPr="009A732E">
        <w:rPr>
          <w:i/>
        </w:rPr>
        <w:t>student 1</w:t>
      </w:r>
      <w:r>
        <w:t xml:space="preserve">) + (# of days present </w:t>
      </w:r>
      <w:r w:rsidRPr="009A732E">
        <w:rPr>
          <w:i/>
        </w:rPr>
        <w:t>student 2</w:t>
      </w:r>
      <w:r>
        <w:t xml:space="preserve">) + ….. (# days present </w:t>
      </w:r>
      <w:r w:rsidRPr="009A732E">
        <w:rPr>
          <w:i/>
        </w:rPr>
        <w:t>student n</w:t>
      </w:r>
      <w:r>
        <w:t>)</w:t>
      </w:r>
    </w:p>
    <w:p w14:paraId="1FE0949F" w14:textId="77777777" w:rsidR="00BC1BAC" w:rsidRDefault="00BC1BAC" w:rsidP="00BC1BAC">
      <w:pPr>
        <w:pStyle w:val="Heading3"/>
      </w:pPr>
      <w:bookmarkStart w:id="73" w:name="_Toc474843267"/>
      <w:bookmarkStart w:id="74" w:name="_Toc474940169"/>
      <w:r>
        <w:t>Denomenator</w:t>
      </w:r>
      <w:bookmarkEnd w:id="73"/>
      <w:bookmarkEnd w:id="74"/>
    </w:p>
    <w:p w14:paraId="05B2682A" w14:textId="77777777" w:rsidR="00BC1BAC" w:rsidRDefault="009A732E" w:rsidP="00BC1BAC">
      <w:pPr>
        <w:jc w:val="center"/>
      </w:pPr>
      <w:r>
        <w:t xml:space="preserve">(# of days enrolled </w:t>
      </w:r>
      <w:r w:rsidRPr="009A732E">
        <w:rPr>
          <w:i/>
        </w:rPr>
        <w:t>student 1</w:t>
      </w:r>
      <w:r>
        <w:t xml:space="preserve">) + (# of days enrolled </w:t>
      </w:r>
      <w:r w:rsidRPr="009A732E">
        <w:rPr>
          <w:i/>
        </w:rPr>
        <w:t>student 2</w:t>
      </w:r>
      <w:r>
        <w:t xml:space="preserve">) + ….. (# days enrolled </w:t>
      </w:r>
      <w:r w:rsidRPr="009A732E">
        <w:rPr>
          <w:i/>
        </w:rPr>
        <w:t>student n</w:t>
      </w:r>
      <w:r w:rsidR="00B0286A">
        <w:t>)</w:t>
      </w:r>
    </w:p>
    <w:p w14:paraId="2852C2EA" w14:textId="77777777" w:rsidR="00BC1BAC" w:rsidRDefault="00BC1BAC" w:rsidP="00BC1BAC">
      <w:pPr>
        <w:pStyle w:val="Heading2"/>
      </w:pPr>
      <w:bookmarkStart w:id="75" w:name="_Toc474843268"/>
      <w:bookmarkStart w:id="76" w:name="_Toc474940170"/>
      <w:r>
        <w:t>Exempted Students</w:t>
      </w:r>
      <w:bookmarkEnd w:id="75"/>
      <w:bookmarkEnd w:id="76"/>
    </w:p>
    <w:p w14:paraId="0A0C5291" w14:textId="77777777" w:rsidR="00BC7098" w:rsidRPr="0012753F" w:rsidRDefault="0012753F" w:rsidP="00BC1BAC">
      <w:pPr>
        <w:pStyle w:val="ListParagraph"/>
        <w:numPr>
          <w:ilvl w:val="0"/>
          <w:numId w:val="7"/>
        </w:numPr>
        <w:tabs>
          <w:tab w:val="left" w:pos="841"/>
        </w:tabs>
        <w:spacing w:line="279" w:lineRule="exact"/>
        <w:ind w:right="126" w:hanging="360"/>
        <w:rPr>
          <w:rFonts w:ascii="Calibri" w:eastAsia="Calibri" w:hAnsi="Calibri" w:cs="Calibri"/>
        </w:rPr>
      </w:pPr>
      <w:r>
        <w:rPr>
          <w:rFonts w:ascii="Calibri"/>
          <w:sz w:val="22"/>
        </w:rPr>
        <w:t>Students enrolled at the school for fewer than 91 consecutive days</w:t>
      </w:r>
    </w:p>
    <w:p w14:paraId="15C84A10" w14:textId="77777777" w:rsidR="00A87C51" w:rsidRDefault="00510915" w:rsidP="00A87C51">
      <w:pPr>
        <w:pStyle w:val="Heading2"/>
        <w:rPr>
          <w:rFonts w:eastAsia="Calibri"/>
        </w:rPr>
      </w:pPr>
      <w:bookmarkStart w:id="77" w:name="_Toc474843269"/>
      <w:bookmarkStart w:id="78" w:name="_Toc474940171"/>
      <w:r>
        <w:rPr>
          <w:rFonts w:eastAsia="Calibri"/>
        </w:rPr>
        <w:t>Ratings and Targets</w:t>
      </w:r>
      <w:bookmarkEnd w:id="77"/>
      <w:bookmarkEnd w:id="78"/>
    </w:p>
    <w:p w14:paraId="3FCE02EE" w14:textId="77777777" w:rsidR="00510915" w:rsidRDefault="00510915">
      <w:r>
        <w:rPr>
          <w:rFonts w:eastAsia="Calibri"/>
        </w:rPr>
        <w:t>Below are the average daily attendance rate targets for each rating.</w:t>
      </w:r>
    </w:p>
    <w:tbl>
      <w:tblPr>
        <w:tblStyle w:val="TableGrid"/>
        <w:tblW w:w="5000" w:type="pct"/>
        <w:jc w:val="center"/>
        <w:tblLook w:val="04A0" w:firstRow="1" w:lastRow="0" w:firstColumn="1" w:lastColumn="0" w:noHBand="0" w:noVBand="1"/>
      </w:tblPr>
      <w:tblGrid>
        <w:gridCol w:w="1453"/>
        <w:gridCol w:w="6740"/>
        <w:gridCol w:w="1603"/>
      </w:tblGrid>
      <w:tr w:rsidR="005760CA" w:rsidRPr="00D84E39" w14:paraId="39EF0BC0" w14:textId="77777777" w:rsidTr="005760CA">
        <w:trPr>
          <w:trHeight w:val="660"/>
          <w:jc w:val="center"/>
        </w:trPr>
        <w:tc>
          <w:tcPr>
            <w:tcW w:w="742" w:type="pct"/>
            <w:hideMark/>
          </w:tcPr>
          <w:p w14:paraId="5D534A5D" w14:textId="77777777" w:rsidR="005760CA" w:rsidRPr="00D84E39" w:rsidRDefault="005760CA" w:rsidP="00FE763A">
            <w:pPr>
              <w:jc w:val="center"/>
              <w:rPr>
                <w:rFonts w:ascii="Calibri" w:eastAsia="Times New Roman" w:hAnsi="Calibri" w:cs="Times New Roman"/>
                <w:b/>
                <w:bCs/>
                <w:color w:val="000000"/>
              </w:rPr>
            </w:pPr>
            <w:r w:rsidRPr="00D84E39">
              <w:rPr>
                <w:rFonts w:ascii="Calibri" w:eastAsia="Times New Roman" w:hAnsi="Calibri" w:cs="Times New Roman"/>
                <w:b/>
                <w:bCs/>
                <w:color w:val="000000"/>
              </w:rPr>
              <w:t>School Performance Rating</w:t>
            </w:r>
            <w:r>
              <w:rPr>
                <w:rFonts w:ascii="Calibri" w:eastAsia="Times New Roman" w:hAnsi="Calibri" w:cs="Times New Roman"/>
                <w:b/>
                <w:bCs/>
                <w:color w:val="000000"/>
              </w:rPr>
              <w:t>s</w:t>
            </w:r>
          </w:p>
        </w:tc>
        <w:tc>
          <w:tcPr>
            <w:tcW w:w="3440" w:type="pct"/>
            <w:vAlign w:val="bottom"/>
            <w:hideMark/>
          </w:tcPr>
          <w:p w14:paraId="5F58ACD2" w14:textId="77777777" w:rsidR="005760CA" w:rsidRPr="00D84E39" w:rsidRDefault="005760CA" w:rsidP="00FE763A">
            <w:pPr>
              <w:jc w:val="center"/>
              <w:rPr>
                <w:rFonts w:ascii="Calibri" w:eastAsia="Times New Roman" w:hAnsi="Calibri" w:cs="Times New Roman"/>
                <w:b/>
                <w:bCs/>
                <w:color w:val="000000"/>
              </w:rPr>
            </w:pPr>
            <w:r>
              <w:rPr>
                <w:rFonts w:ascii="Calibri" w:eastAsia="Times New Roman" w:hAnsi="Calibri" w:cs="Times New Roman"/>
                <w:b/>
                <w:bCs/>
                <w:color w:val="000000"/>
              </w:rPr>
              <w:t>Targets</w:t>
            </w:r>
          </w:p>
        </w:tc>
        <w:tc>
          <w:tcPr>
            <w:tcW w:w="818" w:type="pct"/>
            <w:vAlign w:val="bottom"/>
          </w:tcPr>
          <w:p w14:paraId="67EAE8BA" w14:textId="77777777" w:rsidR="005760CA" w:rsidRDefault="005760CA" w:rsidP="005760CA">
            <w:pPr>
              <w:jc w:val="center"/>
              <w:rPr>
                <w:rFonts w:ascii="Calibri" w:eastAsia="Times New Roman" w:hAnsi="Calibri" w:cs="Times New Roman"/>
                <w:b/>
                <w:bCs/>
                <w:color w:val="000000"/>
              </w:rPr>
            </w:pPr>
            <w:r>
              <w:rPr>
                <w:rFonts w:ascii="Calibri" w:eastAsia="Times New Roman" w:hAnsi="Calibri" w:cs="Times New Roman"/>
                <w:b/>
                <w:bCs/>
                <w:color w:val="000000"/>
              </w:rPr>
              <w:t>Points</w:t>
            </w:r>
          </w:p>
        </w:tc>
      </w:tr>
      <w:tr w:rsidR="005760CA" w:rsidRPr="00D84E39" w14:paraId="6259CD57" w14:textId="77777777" w:rsidTr="005760CA">
        <w:trPr>
          <w:trHeight w:val="600"/>
          <w:jc w:val="center"/>
        </w:trPr>
        <w:tc>
          <w:tcPr>
            <w:tcW w:w="742" w:type="pct"/>
            <w:shd w:val="clear" w:color="auto" w:fill="8064A2" w:themeFill="accent4"/>
            <w:noWrap/>
            <w:vAlign w:val="bottom"/>
          </w:tcPr>
          <w:p w14:paraId="22A298F9" w14:textId="77777777" w:rsidR="005760CA" w:rsidRPr="001D740C" w:rsidRDefault="005760CA" w:rsidP="005760CA">
            <w:pPr>
              <w:jc w:val="center"/>
              <w:rPr>
                <w:rFonts w:ascii="Calibri" w:eastAsia="Times New Roman" w:hAnsi="Calibri" w:cs="Times New Roman"/>
                <w:b/>
                <w:bCs/>
              </w:rPr>
            </w:pPr>
            <w:r>
              <w:rPr>
                <w:rFonts w:ascii="Calibri" w:eastAsia="Times New Roman" w:hAnsi="Calibri" w:cs="Times New Roman"/>
                <w:b/>
                <w:bCs/>
              </w:rPr>
              <w:t>Exceptional</w:t>
            </w:r>
          </w:p>
        </w:tc>
        <w:tc>
          <w:tcPr>
            <w:tcW w:w="3440" w:type="pct"/>
            <w:vAlign w:val="bottom"/>
          </w:tcPr>
          <w:p w14:paraId="52D3423A" w14:textId="77777777" w:rsidR="005760CA" w:rsidRDefault="005760CA" w:rsidP="005760CA">
            <w:pPr>
              <w:rPr>
                <w:rFonts w:ascii="Calibri" w:eastAsia="Times New Roman" w:hAnsi="Calibri" w:cs="Times New Roman"/>
              </w:rPr>
            </w:pPr>
            <w:r>
              <w:rPr>
                <w:u w:color="000000"/>
              </w:rPr>
              <w:t>Average daily attendance is between 95 and 100 percent</w:t>
            </w:r>
          </w:p>
        </w:tc>
        <w:tc>
          <w:tcPr>
            <w:tcW w:w="818" w:type="pct"/>
            <w:vAlign w:val="bottom"/>
          </w:tcPr>
          <w:p w14:paraId="0DA086A3" w14:textId="77777777" w:rsidR="005760CA" w:rsidRDefault="005760CA" w:rsidP="005760CA">
            <w:pPr>
              <w:jc w:val="center"/>
              <w:rPr>
                <w:u w:color="000000"/>
              </w:rPr>
            </w:pPr>
            <w:r>
              <w:rPr>
                <w:u w:color="000000"/>
              </w:rPr>
              <w:t>97.5</w:t>
            </w:r>
          </w:p>
        </w:tc>
      </w:tr>
      <w:tr w:rsidR="005760CA" w:rsidRPr="00D84E39" w14:paraId="5D201F8F" w14:textId="77777777" w:rsidTr="005760CA">
        <w:trPr>
          <w:trHeight w:val="600"/>
          <w:jc w:val="center"/>
        </w:trPr>
        <w:tc>
          <w:tcPr>
            <w:tcW w:w="742" w:type="pct"/>
            <w:shd w:val="clear" w:color="auto" w:fill="0070C0"/>
            <w:noWrap/>
            <w:vAlign w:val="bottom"/>
            <w:hideMark/>
          </w:tcPr>
          <w:p w14:paraId="2A27704D" w14:textId="77777777" w:rsidR="005760CA" w:rsidRPr="001D740C" w:rsidRDefault="005760CA" w:rsidP="005760CA">
            <w:pPr>
              <w:jc w:val="center"/>
              <w:rPr>
                <w:rFonts w:ascii="Calibri" w:eastAsia="Times New Roman" w:hAnsi="Calibri" w:cs="Times New Roman"/>
                <w:b/>
                <w:bCs/>
              </w:rPr>
            </w:pPr>
            <w:r w:rsidRPr="001D740C">
              <w:rPr>
                <w:rFonts w:ascii="Calibri" w:eastAsia="Times New Roman" w:hAnsi="Calibri" w:cs="Times New Roman"/>
                <w:b/>
                <w:bCs/>
              </w:rPr>
              <w:t>Exceeds</w:t>
            </w:r>
          </w:p>
        </w:tc>
        <w:tc>
          <w:tcPr>
            <w:tcW w:w="3440" w:type="pct"/>
            <w:vAlign w:val="bottom"/>
          </w:tcPr>
          <w:p w14:paraId="460C10D1" w14:textId="77777777" w:rsidR="005760CA" w:rsidRPr="00D84E39" w:rsidRDefault="005760CA" w:rsidP="005760CA">
            <w:pPr>
              <w:rPr>
                <w:rFonts w:ascii="Calibri" w:eastAsia="Times New Roman" w:hAnsi="Calibri" w:cs="Times New Roman"/>
              </w:rPr>
            </w:pPr>
            <w:r>
              <w:rPr>
                <w:u w:color="000000"/>
              </w:rPr>
              <w:t>Average daily attendance is between 90 and 94.9 percent</w:t>
            </w:r>
          </w:p>
        </w:tc>
        <w:tc>
          <w:tcPr>
            <w:tcW w:w="818" w:type="pct"/>
            <w:vAlign w:val="bottom"/>
          </w:tcPr>
          <w:p w14:paraId="57EDE968" w14:textId="77777777" w:rsidR="005760CA" w:rsidRDefault="005760CA" w:rsidP="005760CA">
            <w:pPr>
              <w:jc w:val="center"/>
              <w:rPr>
                <w:u w:color="000000"/>
              </w:rPr>
            </w:pPr>
            <w:r>
              <w:rPr>
                <w:u w:color="000000"/>
              </w:rPr>
              <w:t>85.0</w:t>
            </w:r>
          </w:p>
        </w:tc>
      </w:tr>
      <w:tr w:rsidR="005760CA" w:rsidRPr="00D84E39" w14:paraId="22EBF162" w14:textId="77777777" w:rsidTr="005760CA">
        <w:trPr>
          <w:trHeight w:val="600"/>
          <w:jc w:val="center"/>
        </w:trPr>
        <w:tc>
          <w:tcPr>
            <w:tcW w:w="742" w:type="pct"/>
            <w:shd w:val="clear" w:color="auto" w:fill="9BBB59" w:themeFill="accent3"/>
            <w:noWrap/>
            <w:vAlign w:val="bottom"/>
            <w:hideMark/>
          </w:tcPr>
          <w:p w14:paraId="3467968E" w14:textId="77777777" w:rsidR="005760CA" w:rsidRPr="001D740C" w:rsidRDefault="005760CA" w:rsidP="005760CA">
            <w:pPr>
              <w:jc w:val="center"/>
              <w:rPr>
                <w:rFonts w:ascii="Calibri" w:eastAsia="Times New Roman" w:hAnsi="Calibri" w:cs="Times New Roman"/>
                <w:b/>
                <w:bCs/>
              </w:rPr>
            </w:pPr>
            <w:r>
              <w:rPr>
                <w:rFonts w:ascii="Calibri" w:eastAsia="Times New Roman" w:hAnsi="Calibri" w:cs="Times New Roman"/>
                <w:b/>
                <w:bCs/>
              </w:rPr>
              <w:t>Adequate</w:t>
            </w:r>
          </w:p>
        </w:tc>
        <w:tc>
          <w:tcPr>
            <w:tcW w:w="3440" w:type="pct"/>
            <w:vAlign w:val="bottom"/>
          </w:tcPr>
          <w:p w14:paraId="050784C1" w14:textId="77777777" w:rsidR="005760CA" w:rsidRPr="00D84E39" w:rsidRDefault="005760CA" w:rsidP="005760CA">
            <w:pPr>
              <w:rPr>
                <w:rFonts w:ascii="Calibri" w:eastAsia="Times New Roman" w:hAnsi="Calibri" w:cs="Times New Roman"/>
              </w:rPr>
            </w:pPr>
            <w:r>
              <w:rPr>
                <w:u w:color="000000"/>
              </w:rPr>
              <w:t>Average daily attendance is between 85 and 89.9 percent</w:t>
            </w:r>
          </w:p>
        </w:tc>
        <w:tc>
          <w:tcPr>
            <w:tcW w:w="818" w:type="pct"/>
            <w:vAlign w:val="bottom"/>
          </w:tcPr>
          <w:p w14:paraId="0C7C9850" w14:textId="77777777" w:rsidR="005760CA" w:rsidRDefault="005760CA" w:rsidP="005760CA">
            <w:pPr>
              <w:jc w:val="center"/>
              <w:rPr>
                <w:u w:color="000000"/>
              </w:rPr>
            </w:pPr>
            <w:r>
              <w:rPr>
                <w:u w:color="000000"/>
              </w:rPr>
              <w:t>62.5</w:t>
            </w:r>
          </w:p>
        </w:tc>
      </w:tr>
      <w:tr w:rsidR="005760CA" w:rsidRPr="00D84E39" w14:paraId="61DFF30D" w14:textId="77777777" w:rsidTr="005760CA">
        <w:trPr>
          <w:trHeight w:val="600"/>
          <w:jc w:val="center"/>
        </w:trPr>
        <w:tc>
          <w:tcPr>
            <w:tcW w:w="742" w:type="pct"/>
            <w:shd w:val="clear" w:color="auto" w:fill="FFFF00"/>
            <w:noWrap/>
            <w:vAlign w:val="bottom"/>
          </w:tcPr>
          <w:p w14:paraId="5097F88B" w14:textId="77777777" w:rsidR="005760CA" w:rsidRDefault="005760CA" w:rsidP="005760CA">
            <w:pPr>
              <w:jc w:val="center"/>
              <w:rPr>
                <w:rFonts w:ascii="Calibri" w:eastAsia="Times New Roman" w:hAnsi="Calibri" w:cs="Times New Roman"/>
                <w:b/>
                <w:bCs/>
              </w:rPr>
            </w:pPr>
            <w:r>
              <w:rPr>
                <w:rFonts w:ascii="Calibri" w:eastAsia="Times New Roman" w:hAnsi="Calibri" w:cs="Times New Roman"/>
                <w:b/>
                <w:bCs/>
              </w:rPr>
              <w:t>Approaches</w:t>
            </w:r>
          </w:p>
        </w:tc>
        <w:tc>
          <w:tcPr>
            <w:tcW w:w="3440" w:type="pct"/>
            <w:vAlign w:val="bottom"/>
          </w:tcPr>
          <w:p w14:paraId="7126D252" w14:textId="77777777" w:rsidR="005760CA" w:rsidRDefault="005760CA" w:rsidP="005760CA">
            <w:pPr>
              <w:rPr>
                <w:rFonts w:ascii="Calibri" w:eastAsia="Times New Roman" w:hAnsi="Calibri" w:cs="Times New Roman"/>
              </w:rPr>
            </w:pPr>
            <w:r>
              <w:rPr>
                <w:u w:color="000000"/>
              </w:rPr>
              <w:t>Average daily attendance is between 80 and 84.9 percent</w:t>
            </w:r>
          </w:p>
        </w:tc>
        <w:tc>
          <w:tcPr>
            <w:tcW w:w="818" w:type="pct"/>
            <w:vAlign w:val="bottom"/>
          </w:tcPr>
          <w:p w14:paraId="795F8E38" w14:textId="77777777" w:rsidR="005760CA" w:rsidRDefault="005760CA" w:rsidP="005760CA">
            <w:pPr>
              <w:jc w:val="center"/>
              <w:rPr>
                <w:u w:color="000000"/>
              </w:rPr>
            </w:pPr>
            <w:r>
              <w:rPr>
                <w:u w:color="000000"/>
              </w:rPr>
              <w:t>37.5</w:t>
            </w:r>
          </w:p>
        </w:tc>
      </w:tr>
      <w:tr w:rsidR="005760CA" w:rsidRPr="00D84E39" w14:paraId="49F65E4C" w14:textId="77777777" w:rsidTr="005760CA">
        <w:trPr>
          <w:trHeight w:val="600"/>
          <w:jc w:val="center"/>
        </w:trPr>
        <w:tc>
          <w:tcPr>
            <w:tcW w:w="742" w:type="pct"/>
            <w:shd w:val="clear" w:color="auto" w:fill="FFC000"/>
            <w:noWrap/>
            <w:vAlign w:val="bottom"/>
          </w:tcPr>
          <w:p w14:paraId="677C2B89" w14:textId="77777777" w:rsidR="005760CA" w:rsidRPr="001D740C" w:rsidRDefault="005760CA" w:rsidP="005760CA">
            <w:pPr>
              <w:jc w:val="center"/>
              <w:rPr>
                <w:rFonts w:ascii="Calibri" w:eastAsia="Times New Roman" w:hAnsi="Calibri" w:cs="Times New Roman"/>
                <w:b/>
                <w:bCs/>
              </w:rPr>
            </w:pPr>
            <w:r>
              <w:rPr>
                <w:rFonts w:ascii="Calibri" w:eastAsia="Times New Roman" w:hAnsi="Calibri" w:cs="Times New Roman"/>
                <w:b/>
                <w:bCs/>
              </w:rPr>
              <w:t>Unsatisfactory</w:t>
            </w:r>
          </w:p>
        </w:tc>
        <w:tc>
          <w:tcPr>
            <w:tcW w:w="3440" w:type="pct"/>
            <w:vAlign w:val="bottom"/>
          </w:tcPr>
          <w:p w14:paraId="219F239A" w14:textId="77777777" w:rsidR="005760CA" w:rsidRDefault="005760CA" w:rsidP="005760CA">
            <w:pPr>
              <w:rPr>
                <w:rFonts w:ascii="Calibri" w:eastAsia="Times New Roman" w:hAnsi="Calibri" w:cs="Times New Roman"/>
              </w:rPr>
            </w:pPr>
            <w:r>
              <w:rPr>
                <w:u w:color="000000"/>
              </w:rPr>
              <w:t>Average daily attendance is between 75 and 79.9 percent</w:t>
            </w:r>
          </w:p>
        </w:tc>
        <w:tc>
          <w:tcPr>
            <w:tcW w:w="818" w:type="pct"/>
            <w:vAlign w:val="bottom"/>
          </w:tcPr>
          <w:p w14:paraId="712595F2" w14:textId="77777777" w:rsidR="005760CA" w:rsidRDefault="005760CA" w:rsidP="005760CA">
            <w:pPr>
              <w:jc w:val="center"/>
              <w:rPr>
                <w:u w:color="000000"/>
              </w:rPr>
            </w:pPr>
            <w:r>
              <w:rPr>
                <w:u w:color="000000"/>
              </w:rPr>
              <w:t>15.0</w:t>
            </w:r>
          </w:p>
        </w:tc>
      </w:tr>
      <w:tr w:rsidR="005760CA" w:rsidRPr="00D84E39" w14:paraId="4CBF5F9C" w14:textId="77777777" w:rsidTr="005760CA">
        <w:trPr>
          <w:trHeight w:val="600"/>
          <w:jc w:val="center"/>
        </w:trPr>
        <w:tc>
          <w:tcPr>
            <w:tcW w:w="742" w:type="pct"/>
            <w:shd w:val="clear" w:color="auto" w:fill="C0504D" w:themeFill="accent2"/>
            <w:noWrap/>
            <w:vAlign w:val="bottom"/>
            <w:hideMark/>
          </w:tcPr>
          <w:p w14:paraId="0B8C6D58" w14:textId="77777777" w:rsidR="005760CA" w:rsidRPr="001D740C" w:rsidRDefault="005760CA" w:rsidP="005760CA">
            <w:pPr>
              <w:jc w:val="center"/>
              <w:rPr>
                <w:rFonts w:ascii="Calibri" w:eastAsia="Times New Roman" w:hAnsi="Calibri" w:cs="Times New Roman"/>
                <w:b/>
                <w:bCs/>
              </w:rPr>
            </w:pPr>
            <w:r>
              <w:rPr>
                <w:rFonts w:ascii="Calibri" w:eastAsia="Times New Roman" w:hAnsi="Calibri" w:cs="Times New Roman"/>
                <w:b/>
                <w:bCs/>
              </w:rPr>
              <w:t>Critical</w:t>
            </w:r>
          </w:p>
        </w:tc>
        <w:tc>
          <w:tcPr>
            <w:tcW w:w="3440" w:type="pct"/>
            <w:vAlign w:val="bottom"/>
          </w:tcPr>
          <w:p w14:paraId="254B7361" w14:textId="77777777" w:rsidR="005760CA" w:rsidRPr="00D84E39" w:rsidRDefault="005760CA" w:rsidP="005760CA">
            <w:pPr>
              <w:rPr>
                <w:rFonts w:ascii="Calibri" w:eastAsia="Times New Roman" w:hAnsi="Calibri" w:cs="Times New Roman"/>
              </w:rPr>
            </w:pPr>
            <w:r>
              <w:rPr>
                <w:u w:color="000000"/>
              </w:rPr>
              <w:t>Average daily attendance is below 75 percent</w:t>
            </w:r>
          </w:p>
        </w:tc>
        <w:tc>
          <w:tcPr>
            <w:tcW w:w="818" w:type="pct"/>
            <w:vAlign w:val="bottom"/>
          </w:tcPr>
          <w:p w14:paraId="5A9622BC" w14:textId="77777777" w:rsidR="005760CA" w:rsidRDefault="005760CA" w:rsidP="005760CA">
            <w:pPr>
              <w:jc w:val="center"/>
              <w:rPr>
                <w:u w:color="000000"/>
              </w:rPr>
            </w:pPr>
            <w:r>
              <w:rPr>
                <w:u w:color="000000"/>
              </w:rPr>
              <w:t>2.5</w:t>
            </w:r>
          </w:p>
        </w:tc>
      </w:tr>
    </w:tbl>
    <w:p w14:paraId="64C3D14A" w14:textId="77777777" w:rsidR="00A83542" w:rsidRDefault="00A83542" w:rsidP="00A83542"/>
    <w:p w14:paraId="4740FA1F" w14:textId="77777777" w:rsidR="002E5F98" w:rsidRDefault="002E5F98" w:rsidP="00A83542"/>
    <w:p w14:paraId="22C842DE" w14:textId="77777777" w:rsidR="00BB2E05" w:rsidRDefault="00BB2E05" w:rsidP="00A83542"/>
    <w:p w14:paraId="77B9FCB0" w14:textId="77777777" w:rsidR="006436D9" w:rsidRDefault="006436D9" w:rsidP="00A83542"/>
    <w:p w14:paraId="1D28488A" w14:textId="77777777" w:rsidR="00CC0170" w:rsidRDefault="00CC0170" w:rsidP="00A83542"/>
    <w:p w14:paraId="351FD510" w14:textId="77777777" w:rsidR="00FD77F7" w:rsidRDefault="00A83542" w:rsidP="00A83542">
      <w:pPr>
        <w:pStyle w:val="Heading1"/>
      </w:pPr>
      <w:bookmarkStart w:id="79" w:name="_Toc474940172"/>
      <w:r>
        <w:lastRenderedPageBreak/>
        <w:t>Overall School Rating and Designation</w:t>
      </w:r>
      <w:bookmarkEnd w:id="79"/>
    </w:p>
    <w:p w14:paraId="213D9AA9" w14:textId="77777777" w:rsidR="0012753F" w:rsidRDefault="00A83542" w:rsidP="00A83542">
      <w:r>
        <w:t>The individual measures within the framework receive point values base</w:t>
      </w:r>
      <w:r w:rsidR="00A3679A">
        <w:t xml:space="preserve">d on the school’s outcomes and points are assigned as outlined in each </w:t>
      </w:r>
      <w:r w:rsidR="00A3679A" w:rsidRPr="00A3679A">
        <w:rPr>
          <w:i/>
        </w:rPr>
        <w:t>Rating</w:t>
      </w:r>
      <w:r w:rsidR="00A3679A">
        <w:rPr>
          <w:i/>
        </w:rPr>
        <w:t>s</w:t>
      </w:r>
      <w:r w:rsidR="00A3679A" w:rsidRPr="00A3679A">
        <w:rPr>
          <w:i/>
        </w:rPr>
        <w:t xml:space="preserve"> and Target</w:t>
      </w:r>
      <w:r w:rsidR="00A3679A">
        <w:rPr>
          <w:i/>
        </w:rPr>
        <w:t>s</w:t>
      </w:r>
      <w:r w:rsidR="00A3679A">
        <w:t xml:space="preserve"> subsection within this document</w:t>
      </w:r>
      <w:r>
        <w:t>. The table below outlines how the individual results for each measu</w:t>
      </w:r>
      <w:r w:rsidR="00A3679A">
        <w:t>re roll up under each indicator and shows the weight of each individual measure in the overall framework.</w:t>
      </w:r>
    </w:p>
    <w:tbl>
      <w:tblPr>
        <w:tblStyle w:val="GridTable4-Accent11"/>
        <w:tblW w:w="0" w:type="auto"/>
        <w:jc w:val="center"/>
        <w:tblLook w:val="04A0" w:firstRow="1" w:lastRow="0" w:firstColumn="1" w:lastColumn="0" w:noHBand="0" w:noVBand="1"/>
      </w:tblPr>
      <w:tblGrid>
        <w:gridCol w:w="2875"/>
        <w:gridCol w:w="2610"/>
        <w:gridCol w:w="1935"/>
      </w:tblGrid>
      <w:tr w:rsidR="002A0EB3" w14:paraId="0D645A85" w14:textId="77777777" w:rsidTr="004D37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36302AF" w14:textId="77777777" w:rsidR="002A0EB3" w:rsidRPr="006A4895" w:rsidRDefault="002A0EB3" w:rsidP="002A0EB3">
            <w:pPr>
              <w:jc w:val="center"/>
            </w:pPr>
            <w:r w:rsidRPr="006A4895">
              <w:t>Indicator</w:t>
            </w:r>
          </w:p>
        </w:tc>
        <w:tc>
          <w:tcPr>
            <w:tcW w:w="2610" w:type="dxa"/>
          </w:tcPr>
          <w:p w14:paraId="186AE3BF" w14:textId="77777777" w:rsidR="002A0EB3" w:rsidRPr="006A4895" w:rsidRDefault="002A0EB3" w:rsidP="002A0EB3">
            <w:pPr>
              <w:jc w:val="center"/>
              <w:cnfStyle w:val="100000000000" w:firstRow="1" w:lastRow="0" w:firstColumn="0" w:lastColumn="0" w:oddVBand="0" w:evenVBand="0" w:oddHBand="0" w:evenHBand="0" w:firstRowFirstColumn="0" w:firstRowLastColumn="0" w:lastRowFirstColumn="0" w:lastRowLastColumn="0"/>
            </w:pPr>
            <w:r w:rsidRPr="006A4895">
              <w:t>Measure</w:t>
            </w:r>
          </w:p>
        </w:tc>
        <w:tc>
          <w:tcPr>
            <w:tcW w:w="1935" w:type="dxa"/>
          </w:tcPr>
          <w:p w14:paraId="57AFC6A4" w14:textId="77777777" w:rsidR="002A0EB3" w:rsidRPr="002A0EB3" w:rsidRDefault="002A0EB3" w:rsidP="002A0EB3">
            <w:pPr>
              <w:jc w:val="center"/>
              <w:cnfStyle w:val="100000000000" w:firstRow="1" w:lastRow="0" w:firstColumn="0" w:lastColumn="0" w:oddVBand="0" w:evenVBand="0" w:oddHBand="0" w:evenHBand="0" w:firstRowFirstColumn="0" w:firstRowLastColumn="0" w:lastRowFirstColumn="0" w:lastRowLastColumn="0"/>
              <w:rPr>
                <w:b w:val="0"/>
              </w:rPr>
            </w:pPr>
            <w:r w:rsidRPr="006A4895">
              <w:t>Weight</w:t>
            </w:r>
          </w:p>
        </w:tc>
      </w:tr>
      <w:tr w:rsidR="002A0EB3" w14:paraId="4B60E5A0" w14:textId="77777777" w:rsidTr="004D3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DF16B18" w14:textId="77777777" w:rsidR="002A0EB3" w:rsidRDefault="002A0EB3" w:rsidP="00A83542">
            <w:r>
              <w:t>Status</w:t>
            </w:r>
          </w:p>
        </w:tc>
        <w:tc>
          <w:tcPr>
            <w:tcW w:w="2610" w:type="dxa"/>
          </w:tcPr>
          <w:p w14:paraId="11A65C33" w14:textId="77777777" w:rsidR="002A0EB3" w:rsidRDefault="002A0EB3" w:rsidP="00A83542">
            <w:pPr>
              <w:cnfStyle w:val="000000100000" w:firstRow="0" w:lastRow="0" w:firstColumn="0" w:lastColumn="0" w:oddVBand="0" w:evenVBand="0" w:oddHBand="1" w:evenHBand="0" w:firstRowFirstColumn="0" w:firstRowLastColumn="0" w:lastRowFirstColumn="0" w:lastRowLastColumn="0"/>
            </w:pPr>
            <w:r>
              <w:t>End of Year RIT--Reading</w:t>
            </w:r>
          </w:p>
        </w:tc>
        <w:tc>
          <w:tcPr>
            <w:tcW w:w="1935" w:type="dxa"/>
          </w:tcPr>
          <w:p w14:paraId="362BDA42" w14:textId="77777777" w:rsidR="002A0EB3" w:rsidRDefault="002A0EB3" w:rsidP="002A0EB3">
            <w:pPr>
              <w:jc w:val="center"/>
              <w:cnfStyle w:val="000000100000" w:firstRow="0" w:lastRow="0" w:firstColumn="0" w:lastColumn="0" w:oddVBand="0" w:evenVBand="0" w:oddHBand="1" w:evenHBand="0" w:firstRowFirstColumn="0" w:firstRowLastColumn="0" w:lastRowFirstColumn="0" w:lastRowLastColumn="0"/>
            </w:pPr>
            <w:r>
              <w:t>10%</w:t>
            </w:r>
          </w:p>
        </w:tc>
      </w:tr>
      <w:tr w:rsidR="002A0EB3" w14:paraId="2022C526" w14:textId="77777777" w:rsidTr="004D377C">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5F56082F" w14:textId="77777777" w:rsidR="002A0EB3" w:rsidRDefault="002A0EB3" w:rsidP="00A83542">
            <w:r>
              <w:t>Status</w:t>
            </w:r>
          </w:p>
        </w:tc>
        <w:tc>
          <w:tcPr>
            <w:tcW w:w="2610" w:type="dxa"/>
          </w:tcPr>
          <w:p w14:paraId="0284E3D8" w14:textId="77777777" w:rsidR="002A0EB3" w:rsidRDefault="002A0EB3" w:rsidP="00A83542">
            <w:pPr>
              <w:cnfStyle w:val="000000000000" w:firstRow="0" w:lastRow="0" w:firstColumn="0" w:lastColumn="0" w:oddVBand="0" w:evenVBand="0" w:oddHBand="0" w:evenHBand="0" w:firstRowFirstColumn="0" w:firstRowLastColumn="0" w:lastRowFirstColumn="0" w:lastRowLastColumn="0"/>
            </w:pPr>
            <w:r>
              <w:t>End of Year RIT--Math</w:t>
            </w:r>
          </w:p>
        </w:tc>
        <w:tc>
          <w:tcPr>
            <w:tcW w:w="1935" w:type="dxa"/>
          </w:tcPr>
          <w:p w14:paraId="3F25971B" w14:textId="77777777" w:rsidR="002A0EB3" w:rsidRDefault="002A0EB3" w:rsidP="002A0EB3">
            <w:pPr>
              <w:jc w:val="center"/>
              <w:cnfStyle w:val="000000000000" w:firstRow="0" w:lastRow="0" w:firstColumn="0" w:lastColumn="0" w:oddVBand="0" w:evenVBand="0" w:oddHBand="0" w:evenHBand="0" w:firstRowFirstColumn="0" w:firstRowLastColumn="0" w:lastRowFirstColumn="0" w:lastRowLastColumn="0"/>
            </w:pPr>
            <w:r>
              <w:t>10%</w:t>
            </w:r>
          </w:p>
        </w:tc>
      </w:tr>
      <w:tr w:rsidR="002A0EB3" w14:paraId="522D089C" w14:textId="77777777" w:rsidTr="004D3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70F20138" w14:textId="77777777" w:rsidR="002A0EB3" w:rsidRDefault="002A0EB3" w:rsidP="00A83542">
            <w:r>
              <w:t>Growth</w:t>
            </w:r>
          </w:p>
        </w:tc>
        <w:tc>
          <w:tcPr>
            <w:tcW w:w="2610" w:type="dxa"/>
          </w:tcPr>
          <w:p w14:paraId="0F25A6F3" w14:textId="77777777" w:rsidR="002A0EB3" w:rsidRDefault="002A0EB3" w:rsidP="00A83542">
            <w:pPr>
              <w:cnfStyle w:val="000000100000" w:firstRow="0" w:lastRow="0" w:firstColumn="0" w:lastColumn="0" w:oddVBand="0" w:evenVBand="0" w:oddHBand="1" w:evenHBand="0" w:firstRowFirstColumn="0" w:firstRowLastColumn="0" w:lastRowFirstColumn="0" w:lastRowLastColumn="0"/>
            </w:pPr>
            <w:r>
              <w:t>RIT Growth--Reading</w:t>
            </w:r>
          </w:p>
        </w:tc>
        <w:tc>
          <w:tcPr>
            <w:tcW w:w="1935" w:type="dxa"/>
          </w:tcPr>
          <w:p w14:paraId="32827771" w14:textId="77777777" w:rsidR="002A0EB3" w:rsidRDefault="00CB798E" w:rsidP="002A0EB3">
            <w:pPr>
              <w:jc w:val="center"/>
              <w:cnfStyle w:val="000000100000" w:firstRow="0" w:lastRow="0" w:firstColumn="0" w:lastColumn="0" w:oddVBand="0" w:evenVBand="0" w:oddHBand="1" w:evenHBand="0" w:firstRowFirstColumn="0" w:firstRowLastColumn="0" w:lastRowFirstColumn="0" w:lastRowLastColumn="0"/>
            </w:pPr>
            <w:r>
              <w:t>15</w:t>
            </w:r>
            <w:r w:rsidR="002A0EB3">
              <w:t>%</w:t>
            </w:r>
          </w:p>
        </w:tc>
      </w:tr>
      <w:tr w:rsidR="002A0EB3" w14:paraId="43BA3816" w14:textId="77777777" w:rsidTr="004D377C">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24B02B5B" w14:textId="77777777" w:rsidR="002A0EB3" w:rsidRDefault="002A0EB3" w:rsidP="00A83542">
            <w:r>
              <w:t>Growth</w:t>
            </w:r>
          </w:p>
        </w:tc>
        <w:tc>
          <w:tcPr>
            <w:tcW w:w="2610" w:type="dxa"/>
          </w:tcPr>
          <w:p w14:paraId="157BFE01" w14:textId="77777777" w:rsidR="002A0EB3" w:rsidRDefault="002A0EB3" w:rsidP="00A83542">
            <w:pPr>
              <w:cnfStyle w:val="000000000000" w:firstRow="0" w:lastRow="0" w:firstColumn="0" w:lastColumn="0" w:oddVBand="0" w:evenVBand="0" w:oddHBand="0" w:evenHBand="0" w:firstRowFirstColumn="0" w:firstRowLastColumn="0" w:lastRowFirstColumn="0" w:lastRowLastColumn="0"/>
            </w:pPr>
            <w:r>
              <w:t>RIT Growth--Math</w:t>
            </w:r>
          </w:p>
        </w:tc>
        <w:tc>
          <w:tcPr>
            <w:tcW w:w="1935" w:type="dxa"/>
          </w:tcPr>
          <w:p w14:paraId="50CC2BD4" w14:textId="77777777" w:rsidR="002A0EB3" w:rsidRDefault="00CB798E" w:rsidP="002A0EB3">
            <w:pPr>
              <w:jc w:val="center"/>
              <w:cnfStyle w:val="000000000000" w:firstRow="0" w:lastRow="0" w:firstColumn="0" w:lastColumn="0" w:oddVBand="0" w:evenVBand="0" w:oddHBand="0" w:evenHBand="0" w:firstRowFirstColumn="0" w:firstRowLastColumn="0" w:lastRowFirstColumn="0" w:lastRowLastColumn="0"/>
            </w:pPr>
            <w:r>
              <w:t>15</w:t>
            </w:r>
            <w:r w:rsidR="002A0EB3">
              <w:t>%</w:t>
            </w:r>
          </w:p>
        </w:tc>
      </w:tr>
      <w:tr w:rsidR="002A0EB3" w14:paraId="0CC32415" w14:textId="77777777" w:rsidTr="004D3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A067630" w14:textId="77777777" w:rsidR="002A0EB3" w:rsidRDefault="002A0EB3" w:rsidP="00A83542">
            <w:r>
              <w:t>College &amp; Career Readiness</w:t>
            </w:r>
          </w:p>
        </w:tc>
        <w:tc>
          <w:tcPr>
            <w:tcW w:w="2610" w:type="dxa"/>
          </w:tcPr>
          <w:p w14:paraId="44F0F33E" w14:textId="77777777" w:rsidR="002A0EB3" w:rsidRDefault="002A0EB3" w:rsidP="00A83542">
            <w:pPr>
              <w:cnfStyle w:val="000000100000" w:firstRow="0" w:lastRow="0" w:firstColumn="0" w:lastColumn="0" w:oddVBand="0" w:evenVBand="0" w:oddHBand="1" w:evenHBand="0" w:firstRowFirstColumn="0" w:firstRowLastColumn="0" w:lastRowFirstColumn="0" w:lastRowLastColumn="0"/>
            </w:pPr>
            <w:r>
              <w:t>Credits Earned</w:t>
            </w:r>
          </w:p>
        </w:tc>
        <w:tc>
          <w:tcPr>
            <w:tcW w:w="1935" w:type="dxa"/>
          </w:tcPr>
          <w:p w14:paraId="6AB06943" w14:textId="77777777" w:rsidR="002A0EB3" w:rsidRDefault="00CB798E" w:rsidP="002A0EB3">
            <w:pPr>
              <w:jc w:val="center"/>
              <w:cnfStyle w:val="000000100000" w:firstRow="0" w:lastRow="0" w:firstColumn="0" w:lastColumn="0" w:oddVBand="0" w:evenVBand="0" w:oddHBand="1" w:evenHBand="0" w:firstRowFirstColumn="0" w:firstRowLastColumn="0" w:lastRowFirstColumn="0" w:lastRowLastColumn="0"/>
            </w:pPr>
            <w:r>
              <w:t>2</w:t>
            </w:r>
            <w:r w:rsidR="00852F2A">
              <w:t>0</w:t>
            </w:r>
            <w:r w:rsidR="002A0EB3">
              <w:t>%</w:t>
            </w:r>
          </w:p>
        </w:tc>
      </w:tr>
      <w:tr w:rsidR="002A0EB3" w14:paraId="5C8E54B8" w14:textId="77777777" w:rsidTr="004D377C">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354BECF5" w14:textId="77777777" w:rsidR="002A0EB3" w:rsidRDefault="002A0EB3" w:rsidP="00A83542">
            <w:r>
              <w:t>College &amp; Career Readiness</w:t>
            </w:r>
          </w:p>
        </w:tc>
        <w:tc>
          <w:tcPr>
            <w:tcW w:w="2610" w:type="dxa"/>
          </w:tcPr>
          <w:p w14:paraId="3CCE36BD" w14:textId="77777777" w:rsidR="002A0EB3" w:rsidRDefault="002A0EB3" w:rsidP="00A83542">
            <w:pPr>
              <w:cnfStyle w:val="000000000000" w:firstRow="0" w:lastRow="0" w:firstColumn="0" w:lastColumn="0" w:oddVBand="0" w:evenVBand="0" w:oddHBand="0" w:evenHBand="0" w:firstRowFirstColumn="0" w:firstRowLastColumn="0" w:lastRowFirstColumn="0" w:lastRowLastColumn="0"/>
            </w:pPr>
            <w:r>
              <w:t>Transition Success</w:t>
            </w:r>
          </w:p>
        </w:tc>
        <w:tc>
          <w:tcPr>
            <w:tcW w:w="1935" w:type="dxa"/>
          </w:tcPr>
          <w:p w14:paraId="4E16D24B" w14:textId="77777777" w:rsidR="002A0EB3" w:rsidRDefault="002A0EB3" w:rsidP="002A0EB3">
            <w:pPr>
              <w:jc w:val="center"/>
              <w:cnfStyle w:val="000000000000" w:firstRow="0" w:lastRow="0" w:firstColumn="0" w:lastColumn="0" w:oddVBand="0" w:evenVBand="0" w:oddHBand="0" w:evenHBand="0" w:firstRowFirstColumn="0" w:firstRowLastColumn="0" w:lastRowFirstColumn="0" w:lastRowLastColumn="0"/>
            </w:pPr>
            <w:r>
              <w:t>15%</w:t>
            </w:r>
          </w:p>
        </w:tc>
      </w:tr>
      <w:tr w:rsidR="003A13D4" w14:paraId="71B69BC6" w14:textId="77777777" w:rsidTr="004D3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5B551000" w14:textId="77777777" w:rsidR="003A13D4" w:rsidRDefault="003A13D4" w:rsidP="00A83542">
            <w:r>
              <w:t>College &amp; Career Readiness</w:t>
            </w:r>
          </w:p>
        </w:tc>
        <w:tc>
          <w:tcPr>
            <w:tcW w:w="2610" w:type="dxa"/>
          </w:tcPr>
          <w:p w14:paraId="6953C530" w14:textId="77777777" w:rsidR="003A13D4" w:rsidRDefault="003A13D4" w:rsidP="00A83542">
            <w:pPr>
              <w:cnfStyle w:val="000000100000" w:firstRow="0" w:lastRow="0" w:firstColumn="0" w:lastColumn="0" w:oddVBand="0" w:evenVBand="0" w:oddHBand="1" w:evenHBand="0" w:firstRowFirstColumn="0" w:firstRowLastColumn="0" w:lastRowFirstColumn="0" w:lastRowLastColumn="0"/>
            </w:pPr>
            <w:r>
              <w:t>Cohort Graduation Rates</w:t>
            </w:r>
          </w:p>
        </w:tc>
        <w:tc>
          <w:tcPr>
            <w:tcW w:w="1935" w:type="dxa"/>
          </w:tcPr>
          <w:p w14:paraId="4DC09F93" w14:textId="77777777" w:rsidR="003A13D4" w:rsidRDefault="003A13D4" w:rsidP="002A0EB3">
            <w:pPr>
              <w:jc w:val="center"/>
              <w:cnfStyle w:val="000000100000" w:firstRow="0" w:lastRow="0" w:firstColumn="0" w:lastColumn="0" w:oddVBand="0" w:evenVBand="0" w:oddHBand="1" w:evenHBand="0" w:firstRowFirstColumn="0" w:firstRowLastColumn="0" w:lastRowFirstColumn="0" w:lastRowLastColumn="0"/>
            </w:pPr>
            <w:r>
              <w:t>0%*</w:t>
            </w:r>
          </w:p>
        </w:tc>
      </w:tr>
      <w:tr w:rsidR="003A13D4" w14:paraId="6A8CB082" w14:textId="77777777" w:rsidTr="004D377C">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0582DED0" w14:textId="77777777" w:rsidR="003A13D4" w:rsidRDefault="003A13D4" w:rsidP="00A83542">
            <w:r>
              <w:t>College &amp; Career Readiness</w:t>
            </w:r>
          </w:p>
        </w:tc>
        <w:tc>
          <w:tcPr>
            <w:tcW w:w="2610" w:type="dxa"/>
          </w:tcPr>
          <w:p w14:paraId="08AA89FD" w14:textId="71CB9E77" w:rsidR="003A13D4" w:rsidRDefault="00C52800" w:rsidP="00A83542">
            <w:pPr>
              <w:cnfStyle w:val="000000000000" w:firstRow="0" w:lastRow="0" w:firstColumn="0" w:lastColumn="0" w:oddVBand="0" w:evenVBand="0" w:oddHBand="0" w:evenHBand="0" w:firstRowFirstColumn="0" w:firstRowLastColumn="0" w:lastRowFirstColumn="0" w:lastRowLastColumn="0"/>
            </w:pPr>
            <w:r>
              <w:t>College/Career Ready Assessment</w:t>
            </w:r>
            <w:r w:rsidR="003A13D4">
              <w:t xml:space="preserve"> Participation Rates</w:t>
            </w:r>
          </w:p>
        </w:tc>
        <w:tc>
          <w:tcPr>
            <w:tcW w:w="1935" w:type="dxa"/>
          </w:tcPr>
          <w:p w14:paraId="117C59C6" w14:textId="77777777" w:rsidR="003A13D4" w:rsidRDefault="00852F2A" w:rsidP="002A0EB3">
            <w:pPr>
              <w:jc w:val="center"/>
              <w:cnfStyle w:val="000000000000" w:firstRow="0" w:lastRow="0" w:firstColumn="0" w:lastColumn="0" w:oddVBand="0" w:evenVBand="0" w:oddHBand="0" w:evenHBand="0" w:firstRowFirstColumn="0" w:firstRowLastColumn="0" w:lastRowFirstColumn="0" w:lastRowLastColumn="0"/>
            </w:pPr>
            <w:r>
              <w:t>5</w:t>
            </w:r>
            <w:r w:rsidR="003A13D4">
              <w:t>%</w:t>
            </w:r>
          </w:p>
        </w:tc>
      </w:tr>
      <w:tr w:rsidR="002A0EB3" w14:paraId="621DB06A" w14:textId="77777777" w:rsidTr="004D37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5" w:type="dxa"/>
          </w:tcPr>
          <w:p w14:paraId="325C522E" w14:textId="77777777" w:rsidR="002A0EB3" w:rsidRDefault="002A0EB3" w:rsidP="00A83542">
            <w:r>
              <w:t>Student Engagement</w:t>
            </w:r>
          </w:p>
        </w:tc>
        <w:tc>
          <w:tcPr>
            <w:tcW w:w="2610" w:type="dxa"/>
          </w:tcPr>
          <w:p w14:paraId="1AC97838" w14:textId="77777777" w:rsidR="002A0EB3" w:rsidRDefault="002A0EB3" w:rsidP="00A83542">
            <w:pPr>
              <w:cnfStyle w:val="000000100000" w:firstRow="0" w:lastRow="0" w:firstColumn="0" w:lastColumn="0" w:oddVBand="0" w:evenVBand="0" w:oddHBand="1" w:evenHBand="0" w:firstRowFirstColumn="0" w:firstRowLastColumn="0" w:lastRowFirstColumn="0" w:lastRowLastColumn="0"/>
            </w:pPr>
            <w:r>
              <w:t>Student Retention</w:t>
            </w:r>
          </w:p>
        </w:tc>
        <w:tc>
          <w:tcPr>
            <w:tcW w:w="1935" w:type="dxa"/>
          </w:tcPr>
          <w:p w14:paraId="3E15B717" w14:textId="77777777" w:rsidR="002A0EB3" w:rsidRDefault="002A0EB3" w:rsidP="002A0EB3">
            <w:pPr>
              <w:jc w:val="center"/>
              <w:cnfStyle w:val="000000100000" w:firstRow="0" w:lastRow="0" w:firstColumn="0" w:lastColumn="0" w:oddVBand="0" w:evenVBand="0" w:oddHBand="1" w:evenHBand="0" w:firstRowFirstColumn="0" w:firstRowLastColumn="0" w:lastRowFirstColumn="0" w:lastRowLastColumn="0"/>
            </w:pPr>
            <w:r>
              <w:t>5%</w:t>
            </w:r>
          </w:p>
        </w:tc>
      </w:tr>
      <w:tr w:rsidR="002A0EB3" w14:paraId="06094C59" w14:textId="77777777" w:rsidTr="004D377C">
        <w:trPr>
          <w:jc w:val="center"/>
        </w:trPr>
        <w:tc>
          <w:tcPr>
            <w:cnfStyle w:val="001000000000" w:firstRow="0" w:lastRow="0" w:firstColumn="1" w:lastColumn="0" w:oddVBand="0" w:evenVBand="0" w:oddHBand="0" w:evenHBand="0" w:firstRowFirstColumn="0" w:firstRowLastColumn="0" w:lastRowFirstColumn="0" w:lastRowLastColumn="0"/>
            <w:tcW w:w="2875" w:type="dxa"/>
          </w:tcPr>
          <w:p w14:paraId="2805C227" w14:textId="77777777" w:rsidR="002A0EB3" w:rsidRDefault="002A0EB3" w:rsidP="00A83542">
            <w:r>
              <w:t>Student Engagement</w:t>
            </w:r>
          </w:p>
        </w:tc>
        <w:tc>
          <w:tcPr>
            <w:tcW w:w="2610" w:type="dxa"/>
          </w:tcPr>
          <w:p w14:paraId="7FF61E5E" w14:textId="77777777" w:rsidR="002A0EB3" w:rsidRDefault="002A0EB3" w:rsidP="00A83542">
            <w:pPr>
              <w:cnfStyle w:val="000000000000" w:firstRow="0" w:lastRow="0" w:firstColumn="0" w:lastColumn="0" w:oddVBand="0" w:evenVBand="0" w:oddHBand="0" w:evenHBand="0" w:firstRowFirstColumn="0" w:firstRowLastColumn="0" w:lastRowFirstColumn="0" w:lastRowLastColumn="0"/>
            </w:pPr>
            <w:r>
              <w:t>Student Attendance</w:t>
            </w:r>
          </w:p>
        </w:tc>
        <w:tc>
          <w:tcPr>
            <w:tcW w:w="1935" w:type="dxa"/>
          </w:tcPr>
          <w:p w14:paraId="1FF7F1F0" w14:textId="77777777" w:rsidR="002A0EB3" w:rsidRDefault="002A0EB3" w:rsidP="002A0EB3">
            <w:pPr>
              <w:jc w:val="center"/>
              <w:cnfStyle w:val="000000000000" w:firstRow="0" w:lastRow="0" w:firstColumn="0" w:lastColumn="0" w:oddVBand="0" w:evenVBand="0" w:oddHBand="0" w:evenHBand="0" w:firstRowFirstColumn="0" w:firstRowLastColumn="0" w:lastRowFirstColumn="0" w:lastRowLastColumn="0"/>
            </w:pPr>
            <w:r>
              <w:t>5%</w:t>
            </w:r>
          </w:p>
        </w:tc>
      </w:tr>
    </w:tbl>
    <w:p w14:paraId="2DC2A2BD" w14:textId="3DFD2B83" w:rsidR="00A83542" w:rsidRDefault="003A13D4" w:rsidP="00A83542">
      <w:r>
        <w:tab/>
        <w:t xml:space="preserve">    </w:t>
      </w:r>
      <w:r w:rsidR="00852F2A">
        <w:t>*Measure will be reported but will</w:t>
      </w:r>
      <w:r>
        <w:t xml:space="preserve"> not count toward the school’s accountability framework until </w:t>
      </w:r>
      <w:r w:rsidR="00852F2A">
        <w:tab/>
      </w:r>
      <w:r w:rsidR="00852F2A">
        <w:tab/>
      </w:r>
      <w:r>
        <w:t>data</w:t>
      </w:r>
      <w:r w:rsidR="00C52800">
        <w:t>-</w:t>
      </w:r>
      <w:r>
        <w:t xml:space="preserve">based benchmarks can be established.  </w:t>
      </w:r>
    </w:p>
    <w:p w14:paraId="1EE9ED2D" w14:textId="77777777" w:rsidR="00CB798E" w:rsidRDefault="00CB798E" w:rsidP="00A83542">
      <w:r>
        <w:t xml:space="preserve">The overall weighting of the Beacon framework </w:t>
      </w:r>
      <w:r w:rsidR="00A3679A">
        <w:t xml:space="preserve">is </w:t>
      </w:r>
      <w:r>
        <w:t xml:space="preserve">reflective of the school’s mission to help academically disadvantaged student decrease their level of credit deficiency and make progress toward graduation. Therefore, </w:t>
      </w:r>
      <w:r w:rsidR="00A3679A">
        <w:t xml:space="preserve">the heaviest weighting is on the </w:t>
      </w:r>
      <w:r w:rsidR="00A3679A" w:rsidRPr="00A3679A">
        <w:rPr>
          <w:i/>
        </w:rPr>
        <w:t>College</w:t>
      </w:r>
      <w:r w:rsidR="00A3679A">
        <w:t xml:space="preserve"> &amp; Career </w:t>
      </w:r>
      <w:r w:rsidR="00A3679A" w:rsidRPr="00A3679A">
        <w:rPr>
          <w:i/>
        </w:rPr>
        <w:t>Readiness</w:t>
      </w:r>
      <w:r w:rsidR="00A3679A">
        <w:t xml:space="preserve"> indicator. As in the Authority’s traditional high school framework, the </w:t>
      </w:r>
      <w:r w:rsidR="00A3679A" w:rsidRPr="00A3679A">
        <w:rPr>
          <w:i/>
        </w:rPr>
        <w:t>Growth</w:t>
      </w:r>
      <w:r w:rsidR="00A3679A">
        <w:t xml:space="preserve"> indicator receives more weight in the framework than does the </w:t>
      </w:r>
      <w:r w:rsidR="00A3679A" w:rsidRPr="00A3679A">
        <w:rPr>
          <w:i/>
        </w:rPr>
        <w:t>Status</w:t>
      </w:r>
      <w:r w:rsidR="00A3679A">
        <w:t xml:space="preserve"> indicator. The addition of the Student Engagement indicator—another mission critical aspect of Beacon’s framework—reduced the weighting of Status to 20 percent in the overall framework. The table below outlines the comparable indicator weights for the Authority’s high school framework and that of Beacon’s framework.</w:t>
      </w:r>
    </w:p>
    <w:tbl>
      <w:tblPr>
        <w:tblStyle w:val="GridTable4-Accent11"/>
        <w:tblW w:w="0" w:type="auto"/>
        <w:tblLook w:val="04A0" w:firstRow="1" w:lastRow="0" w:firstColumn="1" w:lastColumn="0" w:noHBand="0" w:noVBand="1"/>
      </w:tblPr>
      <w:tblGrid>
        <w:gridCol w:w="3190"/>
        <w:gridCol w:w="3190"/>
        <w:gridCol w:w="3190"/>
      </w:tblGrid>
      <w:tr w:rsidR="004D377C" w14:paraId="55A4C27A" w14:textId="77777777" w:rsidTr="004D3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0F3C99E3" w14:textId="77777777" w:rsidR="004D377C" w:rsidRPr="006A4895" w:rsidRDefault="004D377C" w:rsidP="004D377C">
            <w:pPr>
              <w:jc w:val="center"/>
            </w:pPr>
            <w:r w:rsidRPr="006A4895">
              <w:t>Indicator</w:t>
            </w:r>
          </w:p>
        </w:tc>
        <w:tc>
          <w:tcPr>
            <w:tcW w:w="3190" w:type="dxa"/>
          </w:tcPr>
          <w:p w14:paraId="22E85855" w14:textId="77777777" w:rsidR="004D377C" w:rsidRPr="006A4895" w:rsidRDefault="004D377C" w:rsidP="004D377C">
            <w:pPr>
              <w:jc w:val="center"/>
              <w:cnfStyle w:val="100000000000" w:firstRow="1" w:lastRow="0" w:firstColumn="0" w:lastColumn="0" w:oddVBand="0" w:evenVBand="0" w:oddHBand="0" w:evenHBand="0" w:firstRowFirstColumn="0" w:firstRowLastColumn="0" w:lastRowFirstColumn="0" w:lastRowLastColumn="0"/>
            </w:pPr>
            <w:r w:rsidRPr="006A4895">
              <w:t>Authority Traditional HS Weighting</w:t>
            </w:r>
            <w:r w:rsidR="00AD1A3C" w:rsidRPr="006A4895">
              <w:t>*</w:t>
            </w:r>
          </w:p>
        </w:tc>
        <w:tc>
          <w:tcPr>
            <w:tcW w:w="3190" w:type="dxa"/>
          </w:tcPr>
          <w:p w14:paraId="46917791" w14:textId="77777777" w:rsidR="004D377C" w:rsidRPr="006A4895" w:rsidRDefault="004D377C" w:rsidP="004D377C">
            <w:pPr>
              <w:jc w:val="center"/>
              <w:cnfStyle w:val="100000000000" w:firstRow="1" w:lastRow="0" w:firstColumn="0" w:lastColumn="0" w:oddVBand="0" w:evenVBand="0" w:oddHBand="0" w:evenHBand="0" w:firstRowFirstColumn="0" w:firstRowLastColumn="0" w:lastRowFirstColumn="0" w:lastRowLastColumn="0"/>
            </w:pPr>
            <w:r w:rsidRPr="006A4895">
              <w:t>Beacon’s Weighting</w:t>
            </w:r>
          </w:p>
        </w:tc>
      </w:tr>
      <w:tr w:rsidR="004D377C" w14:paraId="6C8D7341" w14:textId="77777777" w:rsidTr="004D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2CC5A321" w14:textId="77777777" w:rsidR="004D377C" w:rsidRDefault="004D377C" w:rsidP="00A83542">
            <w:r>
              <w:t>Status</w:t>
            </w:r>
          </w:p>
        </w:tc>
        <w:tc>
          <w:tcPr>
            <w:tcW w:w="3190" w:type="dxa"/>
          </w:tcPr>
          <w:p w14:paraId="350FF68A" w14:textId="77777777" w:rsidR="004D377C" w:rsidRDefault="004D377C" w:rsidP="004D377C">
            <w:pPr>
              <w:jc w:val="center"/>
              <w:cnfStyle w:val="000000100000" w:firstRow="0" w:lastRow="0" w:firstColumn="0" w:lastColumn="0" w:oddVBand="0" w:evenVBand="0" w:oddHBand="1" w:evenHBand="0" w:firstRowFirstColumn="0" w:firstRowLastColumn="0" w:lastRowFirstColumn="0" w:lastRowLastColumn="0"/>
            </w:pPr>
            <w:r>
              <w:t>30 percent</w:t>
            </w:r>
          </w:p>
        </w:tc>
        <w:tc>
          <w:tcPr>
            <w:tcW w:w="3190" w:type="dxa"/>
          </w:tcPr>
          <w:p w14:paraId="4071E5E6" w14:textId="77777777" w:rsidR="004D377C" w:rsidRDefault="004D377C" w:rsidP="004D377C">
            <w:pPr>
              <w:jc w:val="center"/>
              <w:cnfStyle w:val="000000100000" w:firstRow="0" w:lastRow="0" w:firstColumn="0" w:lastColumn="0" w:oddVBand="0" w:evenVBand="0" w:oddHBand="1" w:evenHBand="0" w:firstRowFirstColumn="0" w:firstRowLastColumn="0" w:lastRowFirstColumn="0" w:lastRowLastColumn="0"/>
            </w:pPr>
            <w:r>
              <w:t>20 percent</w:t>
            </w:r>
          </w:p>
        </w:tc>
      </w:tr>
      <w:tr w:rsidR="004D377C" w14:paraId="6B88759E" w14:textId="77777777" w:rsidTr="004D377C">
        <w:tc>
          <w:tcPr>
            <w:cnfStyle w:val="001000000000" w:firstRow="0" w:lastRow="0" w:firstColumn="1" w:lastColumn="0" w:oddVBand="0" w:evenVBand="0" w:oddHBand="0" w:evenHBand="0" w:firstRowFirstColumn="0" w:firstRowLastColumn="0" w:lastRowFirstColumn="0" w:lastRowLastColumn="0"/>
            <w:tcW w:w="3190" w:type="dxa"/>
          </w:tcPr>
          <w:p w14:paraId="098B887E" w14:textId="77777777" w:rsidR="004D377C" w:rsidRDefault="004D377C" w:rsidP="00A83542">
            <w:r>
              <w:t>Growth</w:t>
            </w:r>
          </w:p>
        </w:tc>
        <w:tc>
          <w:tcPr>
            <w:tcW w:w="3190" w:type="dxa"/>
          </w:tcPr>
          <w:p w14:paraId="48FFF143" w14:textId="77777777" w:rsidR="004D377C" w:rsidRDefault="004D377C" w:rsidP="004D377C">
            <w:pPr>
              <w:jc w:val="center"/>
              <w:cnfStyle w:val="000000000000" w:firstRow="0" w:lastRow="0" w:firstColumn="0" w:lastColumn="0" w:oddVBand="0" w:evenVBand="0" w:oddHBand="0" w:evenHBand="0" w:firstRowFirstColumn="0" w:firstRowLastColumn="0" w:lastRowFirstColumn="0" w:lastRowLastColumn="0"/>
            </w:pPr>
            <w:r>
              <w:t>40 percent</w:t>
            </w:r>
          </w:p>
        </w:tc>
        <w:tc>
          <w:tcPr>
            <w:tcW w:w="3190" w:type="dxa"/>
          </w:tcPr>
          <w:p w14:paraId="1DD7669E" w14:textId="77777777" w:rsidR="004D377C" w:rsidRDefault="00CB798E" w:rsidP="004D377C">
            <w:pPr>
              <w:jc w:val="center"/>
              <w:cnfStyle w:val="000000000000" w:firstRow="0" w:lastRow="0" w:firstColumn="0" w:lastColumn="0" w:oddVBand="0" w:evenVBand="0" w:oddHBand="0" w:evenHBand="0" w:firstRowFirstColumn="0" w:firstRowLastColumn="0" w:lastRowFirstColumn="0" w:lastRowLastColumn="0"/>
            </w:pPr>
            <w:r>
              <w:t>30</w:t>
            </w:r>
            <w:r w:rsidR="004D377C">
              <w:t xml:space="preserve"> percent</w:t>
            </w:r>
          </w:p>
        </w:tc>
      </w:tr>
      <w:tr w:rsidR="004D377C" w14:paraId="6FE18AA7" w14:textId="77777777" w:rsidTr="004D3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6D150D68" w14:textId="77777777" w:rsidR="004D377C" w:rsidRDefault="004D377C" w:rsidP="004D377C">
            <w:r>
              <w:t>College &amp; Career Readiness</w:t>
            </w:r>
          </w:p>
        </w:tc>
        <w:tc>
          <w:tcPr>
            <w:tcW w:w="3190" w:type="dxa"/>
          </w:tcPr>
          <w:p w14:paraId="5BB034E8" w14:textId="77777777" w:rsidR="004D377C" w:rsidRDefault="004D377C" w:rsidP="004D377C">
            <w:pPr>
              <w:jc w:val="center"/>
              <w:cnfStyle w:val="000000100000" w:firstRow="0" w:lastRow="0" w:firstColumn="0" w:lastColumn="0" w:oddVBand="0" w:evenVBand="0" w:oddHBand="1" w:evenHBand="0" w:firstRowFirstColumn="0" w:firstRowLastColumn="0" w:lastRowFirstColumn="0" w:lastRowLastColumn="0"/>
            </w:pPr>
            <w:r>
              <w:t>30 percent</w:t>
            </w:r>
          </w:p>
        </w:tc>
        <w:tc>
          <w:tcPr>
            <w:tcW w:w="3190" w:type="dxa"/>
          </w:tcPr>
          <w:p w14:paraId="11EA984D" w14:textId="77777777" w:rsidR="004D377C" w:rsidRDefault="00CB798E" w:rsidP="004D377C">
            <w:pPr>
              <w:jc w:val="center"/>
              <w:cnfStyle w:val="000000100000" w:firstRow="0" w:lastRow="0" w:firstColumn="0" w:lastColumn="0" w:oddVBand="0" w:evenVBand="0" w:oddHBand="1" w:evenHBand="0" w:firstRowFirstColumn="0" w:firstRowLastColumn="0" w:lastRowFirstColumn="0" w:lastRowLastColumn="0"/>
            </w:pPr>
            <w:r>
              <w:t>4</w:t>
            </w:r>
            <w:r w:rsidR="004D377C">
              <w:t>0 percent</w:t>
            </w:r>
          </w:p>
        </w:tc>
      </w:tr>
      <w:tr w:rsidR="004D377C" w14:paraId="1F9AF5E7" w14:textId="77777777" w:rsidTr="004D377C">
        <w:tc>
          <w:tcPr>
            <w:cnfStyle w:val="001000000000" w:firstRow="0" w:lastRow="0" w:firstColumn="1" w:lastColumn="0" w:oddVBand="0" w:evenVBand="0" w:oddHBand="0" w:evenHBand="0" w:firstRowFirstColumn="0" w:firstRowLastColumn="0" w:lastRowFirstColumn="0" w:lastRowLastColumn="0"/>
            <w:tcW w:w="3190" w:type="dxa"/>
          </w:tcPr>
          <w:p w14:paraId="3A9109DA" w14:textId="77777777" w:rsidR="004D377C" w:rsidRDefault="004D377C" w:rsidP="004D377C">
            <w:r>
              <w:t>Student Engagement</w:t>
            </w:r>
          </w:p>
        </w:tc>
        <w:tc>
          <w:tcPr>
            <w:tcW w:w="3190" w:type="dxa"/>
          </w:tcPr>
          <w:p w14:paraId="6933BA4C" w14:textId="77777777" w:rsidR="004D377C" w:rsidRDefault="004D377C" w:rsidP="004D377C">
            <w:pPr>
              <w:jc w:val="center"/>
              <w:cnfStyle w:val="000000000000" w:firstRow="0" w:lastRow="0" w:firstColumn="0" w:lastColumn="0" w:oddVBand="0" w:evenVBand="0" w:oddHBand="0" w:evenHBand="0" w:firstRowFirstColumn="0" w:firstRowLastColumn="0" w:lastRowFirstColumn="0" w:lastRowLastColumn="0"/>
            </w:pPr>
            <w:r>
              <w:t>n/a</w:t>
            </w:r>
          </w:p>
        </w:tc>
        <w:tc>
          <w:tcPr>
            <w:tcW w:w="3190" w:type="dxa"/>
          </w:tcPr>
          <w:p w14:paraId="007EE81B" w14:textId="77777777" w:rsidR="004D377C" w:rsidRDefault="004D377C" w:rsidP="004D377C">
            <w:pPr>
              <w:jc w:val="center"/>
              <w:cnfStyle w:val="000000000000" w:firstRow="0" w:lastRow="0" w:firstColumn="0" w:lastColumn="0" w:oddVBand="0" w:evenVBand="0" w:oddHBand="0" w:evenHBand="0" w:firstRowFirstColumn="0" w:firstRowLastColumn="0" w:lastRowFirstColumn="0" w:lastRowLastColumn="0"/>
            </w:pPr>
            <w:r>
              <w:t>10 percent</w:t>
            </w:r>
          </w:p>
        </w:tc>
      </w:tr>
    </w:tbl>
    <w:p w14:paraId="16D86B33" w14:textId="77777777" w:rsidR="004D377C" w:rsidRDefault="00AD1A3C" w:rsidP="00A83542">
      <w:pPr>
        <w:rPr>
          <w:sz w:val="18"/>
          <w:szCs w:val="18"/>
        </w:rPr>
      </w:pPr>
      <w:r w:rsidRPr="00AD1A3C">
        <w:rPr>
          <w:sz w:val="18"/>
          <w:szCs w:val="18"/>
        </w:rPr>
        <w:t>*Source: Nevada Charter School Authority’s Draft Academic Framework Guidance Document. Received via email on February 13</w:t>
      </w:r>
      <w:r w:rsidRPr="00AD1A3C">
        <w:rPr>
          <w:sz w:val="18"/>
          <w:szCs w:val="18"/>
          <w:vertAlign w:val="superscript"/>
        </w:rPr>
        <w:t>th</w:t>
      </w:r>
      <w:r w:rsidRPr="00AD1A3C">
        <w:rPr>
          <w:sz w:val="18"/>
          <w:szCs w:val="18"/>
        </w:rPr>
        <w:t>, 2017.</w:t>
      </w:r>
    </w:p>
    <w:p w14:paraId="07953F10" w14:textId="77777777" w:rsidR="00A3679A" w:rsidRDefault="00A3679A" w:rsidP="00A83542">
      <w:pPr>
        <w:rPr>
          <w:sz w:val="18"/>
          <w:szCs w:val="18"/>
        </w:rPr>
      </w:pPr>
    </w:p>
    <w:p w14:paraId="50E8F0E8" w14:textId="77777777" w:rsidR="00A3679A" w:rsidRPr="00AD1A3C" w:rsidRDefault="00A3679A" w:rsidP="00A83542">
      <w:pPr>
        <w:rPr>
          <w:sz w:val="18"/>
          <w:szCs w:val="18"/>
        </w:rPr>
      </w:pPr>
    </w:p>
    <w:p w14:paraId="136EC46C" w14:textId="77777777" w:rsidR="00AD1A3C" w:rsidRDefault="00AD1A3C" w:rsidP="002E5F98">
      <w:r>
        <w:lastRenderedPageBreak/>
        <w:t xml:space="preserve">The designation Beacon receives, based on the percent of </w:t>
      </w:r>
      <w:r w:rsidR="00184E98">
        <w:t xml:space="preserve">total </w:t>
      </w:r>
      <w:r>
        <w:t xml:space="preserve">possible points received, will parallel that of the Authority’s </w:t>
      </w:r>
      <w:r w:rsidR="00184E98">
        <w:t xml:space="preserve">high school framework </w:t>
      </w:r>
      <w:r>
        <w:t>and is outlined below (recreated from the Nevada Charter School Authority’s Draft Academic Framework Guidance Document, page 10)</w:t>
      </w:r>
      <w:r w:rsidR="00184E98">
        <w:t>.</w:t>
      </w:r>
    </w:p>
    <w:tbl>
      <w:tblPr>
        <w:tblW w:w="0" w:type="auto"/>
        <w:tblInd w:w="1625" w:type="dxa"/>
        <w:tblLayout w:type="fixed"/>
        <w:tblCellMar>
          <w:left w:w="0" w:type="dxa"/>
          <w:right w:w="0" w:type="dxa"/>
        </w:tblCellMar>
        <w:tblLook w:val="01E0" w:firstRow="1" w:lastRow="1" w:firstColumn="1" w:lastColumn="1" w:noHBand="0" w:noVBand="0"/>
      </w:tblPr>
      <w:tblGrid>
        <w:gridCol w:w="2616"/>
        <w:gridCol w:w="4303"/>
      </w:tblGrid>
      <w:tr w:rsidR="00AD1A3C" w:rsidRPr="00184E98" w14:paraId="7DAEB300" w14:textId="77777777" w:rsidTr="00AD1A3C">
        <w:trPr>
          <w:trHeight w:hRule="exact" w:val="319"/>
        </w:trPr>
        <w:tc>
          <w:tcPr>
            <w:tcW w:w="2616" w:type="dxa"/>
            <w:tcBorders>
              <w:top w:val="single" w:sz="5" w:space="0" w:color="000000"/>
              <w:left w:val="single" w:sz="5" w:space="0" w:color="000000"/>
              <w:bottom w:val="single" w:sz="5" w:space="0" w:color="000000"/>
              <w:right w:val="single" w:sz="5" w:space="0" w:color="000000"/>
            </w:tcBorders>
            <w:shd w:val="clear" w:color="auto" w:fill="auto"/>
          </w:tcPr>
          <w:p w14:paraId="1B720DA5" w14:textId="77777777" w:rsidR="00AD1A3C" w:rsidRPr="00184E98" w:rsidRDefault="00184E98" w:rsidP="00AD1A3C">
            <w:pPr>
              <w:widowControl w:val="0"/>
              <w:tabs>
                <w:tab w:val="right" w:pos="2604"/>
              </w:tabs>
              <w:spacing w:before="0" w:after="0" w:line="264" w:lineRule="exact"/>
              <w:ind w:left="99"/>
              <w:jc w:val="center"/>
              <w:rPr>
                <w:rFonts w:ascii="Calibri" w:eastAsiaTheme="minorHAnsi"/>
                <w:b/>
                <w:spacing w:val="-1"/>
              </w:rPr>
            </w:pPr>
            <w:r>
              <w:rPr>
                <w:rFonts w:ascii="Calibri" w:eastAsiaTheme="minorHAnsi"/>
                <w:b/>
                <w:spacing w:val="-1"/>
              </w:rPr>
              <w:t xml:space="preserve">Final </w:t>
            </w:r>
            <w:r w:rsidR="00AD1A3C" w:rsidRPr="00184E98">
              <w:rPr>
                <w:rFonts w:ascii="Calibri" w:eastAsiaTheme="minorHAnsi"/>
                <w:b/>
                <w:spacing w:val="-1"/>
              </w:rPr>
              <w:t>School Designation</w:t>
            </w:r>
          </w:p>
        </w:tc>
        <w:tc>
          <w:tcPr>
            <w:tcW w:w="4303" w:type="dxa"/>
            <w:tcBorders>
              <w:top w:val="single" w:sz="5" w:space="0" w:color="000000"/>
              <w:left w:val="single" w:sz="5" w:space="0" w:color="000000"/>
              <w:bottom w:val="single" w:sz="5" w:space="0" w:color="000000"/>
              <w:right w:val="single" w:sz="5" w:space="0" w:color="000000"/>
            </w:tcBorders>
          </w:tcPr>
          <w:p w14:paraId="01824571" w14:textId="77777777" w:rsidR="00AD1A3C" w:rsidRPr="00184E98" w:rsidRDefault="00AD1A3C" w:rsidP="00AD1A3C">
            <w:pPr>
              <w:widowControl w:val="0"/>
              <w:spacing w:before="0" w:after="0" w:line="264" w:lineRule="exact"/>
              <w:ind w:left="102"/>
              <w:jc w:val="center"/>
              <w:rPr>
                <w:rFonts w:ascii="Calibri" w:eastAsiaTheme="minorHAnsi"/>
                <w:b/>
                <w:spacing w:val="-1"/>
              </w:rPr>
            </w:pPr>
            <w:r w:rsidRPr="00184E98">
              <w:rPr>
                <w:rFonts w:ascii="Calibri" w:eastAsiaTheme="minorHAnsi"/>
                <w:b/>
                <w:spacing w:val="-1"/>
              </w:rPr>
              <w:t>Percent of Total Possible Points Received</w:t>
            </w:r>
          </w:p>
        </w:tc>
      </w:tr>
      <w:tr w:rsidR="00AD1A3C" w:rsidRPr="00184E98" w14:paraId="7DC48FC5" w14:textId="77777777" w:rsidTr="00AD1A3C">
        <w:trPr>
          <w:trHeight w:hRule="exact" w:val="319"/>
        </w:trPr>
        <w:tc>
          <w:tcPr>
            <w:tcW w:w="2616" w:type="dxa"/>
            <w:tcBorders>
              <w:top w:val="single" w:sz="5" w:space="0" w:color="000000"/>
              <w:left w:val="single" w:sz="5" w:space="0" w:color="000000"/>
              <w:bottom w:val="single" w:sz="5" w:space="0" w:color="000000"/>
              <w:right w:val="single" w:sz="5" w:space="0" w:color="000000"/>
            </w:tcBorders>
            <w:shd w:val="clear" w:color="auto" w:fill="8064A2"/>
          </w:tcPr>
          <w:p w14:paraId="3215F49F" w14:textId="77777777" w:rsidR="00AD1A3C" w:rsidRPr="00184E98" w:rsidRDefault="00AD1A3C" w:rsidP="00AD1A3C">
            <w:pPr>
              <w:widowControl w:val="0"/>
              <w:spacing w:before="0" w:after="0" w:line="264" w:lineRule="exact"/>
              <w:ind w:left="99"/>
              <w:rPr>
                <w:rFonts w:ascii="Calibri" w:eastAsia="Calibri" w:hAnsi="Calibri" w:cs="Calibri"/>
                <w:b/>
              </w:rPr>
            </w:pPr>
            <w:r w:rsidRPr="00184E98">
              <w:rPr>
                <w:rFonts w:ascii="Calibri" w:eastAsiaTheme="minorHAnsi"/>
                <w:b/>
                <w:spacing w:val="-1"/>
              </w:rPr>
              <w:t>Exceptional</w:t>
            </w:r>
          </w:p>
        </w:tc>
        <w:tc>
          <w:tcPr>
            <w:tcW w:w="4303" w:type="dxa"/>
            <w:tcBorders>
              <w:top w:val="single" w:sz="5" w:space="0" w:color="000000"/>
              <w:left w:val="single" w:sz="5" w:space="0" w:color="000000"/>
              <w:bottom w:val="single" w:sz="5" w:space="0" w:color="000000"/>
              <w:right w:val="single" w:sz="5" w:space="0" w:color="000000"/>
            </w:tcBorders>
          </w:tcPr>
          <w:p w14:paraId="0F565341" w14:textId="77777777" w:rsidR="00AD1A3C" w:rsidRPr="00184E98" w:rsidRDefault="00AD1A3C" w:rsidP="00AD1A3C">
            <w:pPr>
              <w:widowControl w:val="0"/>
              <w:spacing w:before="0" w:after="0" w:line="264" w:lineRule="exact"/>
              <w:ind w:left="102"/>
              <w:jc w:val="center"/>
              <w:rPr>
                <w:rFonts w:ascii="Calibri" w:eastAsia="Calibri" w:hAnsi="Calibri" w:cs="Calibri"/>
              </w:rPr>
            </w:pPr>
            <w:r w:rsidRPr="00184E98">
              <w:rPr>
                <w:rFonts w:ascii="Calibri" w:eastAsiaTheme="minorHAnsi"/>
                <w:spacing w:val="-1"/>
              </w:rPr>
              <w:t>95.0-100.0</w:t>
            </w:r>
          </w:p>
        </w:tc>
      </w:tr>
      <w:tr w:rsidR="00AD1A3C" w:rsidRPr="00184E98" w14:paraId="62B7457C" w14:textId="77777777" w:rsidTr="00AD1A3C">
        <w:trPr>
          <w:trHeight w:hRule="exact" w:val="344"/>
        </w:trPr>
        <w:tc>
          <w:tcPr>
            <w:tcW w:w="2616" w:type="dxa"/>
            <w:tcBorders>
              <w:top w:val="single" w:sz="5" w:space="0" w:color="000000"/>
              <w:left w:val="single" w:sz="5" w:space="0" w:color="000000"/>
              <w:bottom w:val="single" w:sz="4" w:space="0" w:color="auto"/>
              <w:right w:val="single" w:sz="5" w:space="0" w:color="000000"/>
            </w:tcBorders>
            <w:shd w:val="clear" w:color="auto" w:fill="548DD4"/>
          </w:tcPr>
          <w:p w14:paraId="78CC6A61" w14:textId="77777777" w:rsidR="00AD1A3C" w:rsidRPr="00184E98" w:rsidRDefault="00AD1A3C" w:rsidP="00AD1A3C">
            <w:pPr>
              <w:widowControl w:val="0"/>
              <w:spacing w:before="0" w:after="0" w:line="264" w:lineRule="exact"/>
              <w:ind w:left="99"/>
              <w:rPr>
                <w:rFonts w:ascii="Calibri" w:eastAsia="Calibri" w:hAnsi="Calibri" w:cs="Calibri"/>
                <w:b/>
              </w:rPr>
            </w:pPr>
            <w:r w:rsidRPr="00184E98">
              <w:rPr>
                <w:rFonts w:ascii="Calibri" w:eastAsiaTheme="minorHAnsi"/>
                <w:b/>
                <w:spacing w:val="-1"/>
              </w:rPr>
              <w:t>Exceeds</w:t>
            </w:r>
          </w:p>
        </w:tc>
        <w:tc>
          <w:tcPr>
            <w:tcW w:w="4303" w:type="dxa"/>
            <w:tcBorders>
              <w:top w:val="single" w:sz="5" w:space="0" w:color="000000"/>
              <w:left w:val="single" w:sz="5" w:space="0" w:color="000000"/>
              <w:bottom w:val="single" w:sz="4" w:space="0" w:color="auto"/>
              <w:right w:val="single" w:sz="5" w:space="0" w:color="000000"/>
            </w:tcBorders>
          </w:tcPr>
          <w:p w14:paraId="551A0825" w14:textId="77777777" w:rsidR="00AD1A3C" w:rsidRPr="00184E98" w:rsidRDefault="00AD1A3C" w:rsidP="00AD1A3C">
            <w:pPr>
              <w:widowControl w:val="0"/>
              <w:spacing w:before="0" w:after="0" w:line="264" w:lineRule="exact"/>
              <w:ind w:left="102"/>
              <w:jc w:val="center"/>
              <w:rPr>
                <w:rFonts w:ascii="Calibri" w:eastAsia="Calibri" w:hAnsi="Calibri" w:cs="Calibri"/>
              </w:rPr>
            </w:pPr>
            <w:r w:rsidRPr="00184E98">
              <w:rPr>
                <w:rFonts w:ascii="Calibri" w:eastAsiaTheme="minorHAnsi"/>
                <w:spacing w:val="-1"/>
              </w:rPr>
              <w:t>75.0-94.9</w:t>
            </w:r>
          </w:p>
        </w:tc>
      </w:tr>
      <w:tr w:rsidR="00AD1A3C" w:rsidRPr="00184E98" w14:paraId="337968EB" w14:textId="77777777" w:rsidTr="00AD1A3C">
        <w:trPr>
          <w:trHeight w:hRule="exact" w:val="370"/>
        </w:trPr>
        <w:tc>
          <w:tcPr>
            <w:tcW w:w="2616" w:type="dxa"/>
            <w:tcBorders>
              <w:top w:val="single" w:sz="4" w:space="0" w:color="auto"/>
              <w:left w:val="single" w:sz="6" w:space="0" w:color="000000"/>
              <w:bottom w:val="single" w:sz="4" w:space="0" w:color="auto"/>
              <w:right w:val="single" w:sz="6" w:space="0" w:color="000000"/>
            </w:tcBorders>
            <w:shd w:val="clear" w:color="auto" w:fill="76923C"/>
          </w:tcPr>
          <w:p w14:paraId="2BF1A248" w14:textId="77777777" w:rsidR="00AD1A3C" w:rsidRPr="00184E98" w:rsidRDefault="00AD1A3C" w:rsidP="00AD1A3C">
            <w:pPr>
              <w:widowControl w:val="0"/>
              <w:tabs>
                <w:tab w:val="right" w:pos="2601"/>
              </w:tabs>
              <w:spacing w:before="0" w:after="0" w:line="264" w:lineRule="exact"/>
              <w:ind w:left="99"/>
              <w:rPr>
                <w:rFonts w:ascii="Calibri" w:eastAsia="Calibri" w:hAnsi="Calibri" w:cs="Calibri"/>
                <w:b/>
              </w:rPr>
            </w:pPr>
            <w:r w:rsidRPr="00184E98">
              <w:rPr>
                <w:rFonts w:ascii="Calibri" w:eastAsiaTheme="minorHAnsi"/>
                <w:b/>
                <w:spacing w:val="-1"/>
              </w:rPr>
              <w:t>Adequate</w:t>
            </w:r>
            <w:r w:rsidRPr="00184E98">
              <w:rPr>
                <w:rFonts w:ascii="Calibri" w:eastAsiaTheme="minorHAnsi"/>
                <w:b/>
                <w:spacing w:val="-1"/>
              </w:rPr>
              <w:tab/>
            </w:r>
          </w:p>
        </w:tc>
        <w:tc>
          <w:tcPr>
            <w:tcW w:w="4303" w:type="dxa"/>
            <w:tcBorders>
              <w:top w:val="single" w:sz="4" w:space="0" w:color="auto"/>
              <w:left w:val="single" w:sz="6" w:space="0" w:color="000000"/>
              <w:bottom w:val="single" w:sz="4" w:space="0" w:color="auto"/>
              <w:right w:val="single" w:sz="6" w:space="0" w:color="000000"/>
            </w:tcBorders>
          </w:tcPr>
          <w:p w14:paraId="6FEB5DC6" w14:textId="77777777" w:rsidR="00AD1A3C" w:rsidRPr="00184E98" w:rsidRDefault="00AD1A3C" w:rsidP="00AD1A3C">
            <w:pPr>
              <w:widowControl w:val="0"/>
              <w:tabs>
                <w:tab w:val="center" w:pos="2196"/>
              </w:tabs>
              <w:spacing w:before="0" w:after="0" w:line="240" w:lineRule="auto"/>
              <w:ind w:left="102"/>
              <w:rPr>
                <w:rFonts w:ascii="Calibri" w:eastAsia="Calibri" w:hAnsi="Calibri" w:cs="Calibri"/>
              </w:rPr>
            </w:pPr>
            <w:r w:rsidRPr="00184E98">
              <w:rPr>
                <w:rFonts w:ascii="Calibri" w:eastAsiaTheme="minorHAnsi"/>
                <w:spacing w:val="-1"/>
              </w:rPr>
              <w:tab/>
              <w:t>50.0-74.9</w:t>
            </w:r>
          </w:p>
        </w:tc>
      </w:tr>
      <w:tr w:rsidR="00AD1A3C" w:rsidRPr="00184E98" w14:paraId="447E0437" w14:textId="77777777" w:rsidTr="00AD1A3C">
        <w:trPr>
          <w:trHeight w:hRule="exact" w:val="342"/>
        </w:trPr>
        <w:tc>
          <w:tcPr>
            <w:tcW w:w="2616" w:type="dxa"/>
            <w:tcBorders>
              <w:top w:val="single" w:sz="4" w:space="0" w:color="auto"/>
              <w:left w:val="single" w:sz="5" w:space="0" w:color="000000"/>
              <w:bottom w:val="single" w:sz="5" w:space="0" w:color="000000"/>
              <w:right w:val="single" w:sz="5" w:space="0" w:color="000000"/>
            </w:tcBorders>
            <w:shd w:val="clear" w:color="auto" w:fill="FFFF00"/>
          </w:tcPr>
          <w:p w14:paraId="53BAE01A" w14:textId="77777777" w:rsidR="00AD1A3C" w:rsidRPr="00184E98" w:rsidRDefault="00AD1A3C" w:rsidP="00AD1A3C">
            <w:pPr>
              <w:widowControl w:val="0"/>
              <w:spacing w:before="0" w:after="0" w:line="264" w:lineRule="exact"/>
              <w:ind w:left="99"/>
              <w:rPr>
                <w:rFonts w:ascii="Calibri" w:eastAsia="Calibri" w:hAnsi="Calibri" w:cs="Calibri"/>
                <w:b/>
              </w:rPr>
            </w:pPr>
            <w:r w:rsidRPr="00184E98">
              <w:rPr>
                <w:rFonts w:ascii="Calibri" w:eastAsiaTheme="minorHAnsi"/>
                <w:b/>
                <w:spacing w:val="-1"/>
              </w:rPr>
              <w:t>Approaches</w:t>
            </w:r>
          </w:p>
        </w:tc>
        <w:tc>
          <w:tcPr>
            <w:tcW w:w="4303" w:type="dxa"/>
            <w:tcBorders>
              <w:top w:val="single" w:sz="4" w:space="0" w:color="auto"/>
              <w:left w:val="single" w:sz="5" w:space="0" w:color="000000"/>
              <w:bottom w:val="single" w:sz="5" w:space="0" w:color="000000"/>
              <w:right w:val="single" w:sz="5" w:space="0" w:color="000000"/>
            </w:tcBorders>
          </w:tcPr>
          <w:p w14:paraId="43343264" w14:textId="77777777" w:rsidR="00AD1A3C" w:rsidRPr="00184E98" w:rsidRDefault="00AD1A3C" w:rsidP="00AD1A3C">
            <w:pPr>
              <w:widowControl w:val="0"/>
              <w:spacing w:before="0" w:after="0" w:line="264" w:lineRule="exact"/>
              <w:ind w:left="102"/>
              <w:jc w:val="center"/>
              <w:rPr>
                <w:rFonts w:ascii="Calibri" w:eastAsia="Calibri" w:hAnsi="Calibri" w:cs="Calibri"/>
              </w:rPr>
            </w:pPr>
            <w:r w:rsidRPr="00184E98">
              <w:rPr>
                <w:rFonts w:ascii="Calibri" w:eastAsiaTheme="minorHAnsi"/>
                <w:spacing w:val="-1"/>
              </w:rPr>
              <w:t>25.0-49.9</w:t>
            </w:r>
          </w:p>
        </w:tc>
      </w:tr>
      <w:tr w:rsidR="00AD1A3C" w:rsidRPr="00184E98" w14:paraId="764EBF63" w14:textId="77777777" w:rsidTr="00AD1A3C">
        <w:trPr>
          <w:trHeight w:hRule="exact" w:val="319"/>
        </w:trPr>
        <w:tc>
          <w:tcPr>
            <w:tcW w:w="2616" w:type="dxa"/>
            <w:tcBorders>
              <w:top w:val="single" w:sz="5" w:space="0" w:color="000000"/>
              <w:left w:val="single" w:sz="5" w:space="0" w:color="000000"/>
              <w:bottom w:val="single" w:sz="5" w:space="0" w:color="000000"/>
              <w:right w:val="single" w:sz="5" w:space="0" w:color="000000"/>
            </w:tcBorders>
            <w:shd w:val="clear" w:color="auto" w:fill="FFC000"/>
          </w:tcPr>
          <w:p w14:paraId="31747C50" w14:textId="77777777" w:rsidR="00AD1A3C" w:rsidRPr="00184E98" w:rsidRDefault="00AD1A3C" w:rsidP="00AD1A3C">
            <w:pPr>
              <w:widowControl w:val="0"/>
              <w:spacing w:before="0" w:after="0" w:line="264" w:lineRule="exact"/>
              <w:ind w:left="99"/>
              <w:rPr>
                <w:rFonts w:ascii="Calibri" w:eastAsia="Calibri" w:hAnsi="Calibri" w:cs="Calibri"/>
                <w:b/>
              </w:rPr>
            </w:pPr>
            <w:r w:rsidRPr="00184E98">
              <w:rPr>
                <w:rFonts w:ascii="Calibri" w:eastAsiaTheme="minorHAnsi"/>
                <w:b/>
                <w:spacing w:val="-1"/>
              </w:rPr>
              <w:t>Unsatisfactory</w:t>
            </w:r>
          </w:p>
        </w:tc>
        <w:tc>
          <w:tcPr>
            <w:tcW w:w="4303" w:type="dxa"/>
            <w:tcBorders>
              <w:top w:val="single" w:sz="5" w:space="0" w:color="000000"/>
              <w:left w:val="single" w:sz="5" w:space="0" w:color="000000"/>
              <w:bottom w:val="single" w:sz="5" w:space="0" w:color="000000"/>
              <w:right w:val="single" w:sz="5" w:space="0" w:color="000000"/>
            </w:tcBorders>
          </w:tcPr>
          <w:p w14:paraId="5CD1C3BB" w14:textId="77777777" w:rsidR="00AD1A3C" w:rsidRPr="00184E98" w:rsidRDefault="00AD1A3C" w:rsidP="00AD1A3C">
            <w:pPr>
              <w:widowControl w:val="0"/>
              <w:spacing w:before="0" w:after="0" w:line="264" w:lineRule="exact"/>
              <w:ind w:left="102"/>
              <w:jc w:val="center"/>
              <w:rPr>
                <w:rFonts w:ascii="Calibri" w:eastAsia="Calibri" w:hAnsi="Calibri" w:cs="Calibri"/>
              </w:rPr>
            </w:pPr>
            <w:r w:rsidRPr="00184E98">
              <w:rPr>
                <w:rFonts w:ascii="Calibri" w:eastAsiaTheme="minorHAnsi"/>
                <w:spacing w:val="-1"/>
              </w:rPr>
              <w:t>5.0-24.9</w:t>
            </w:r>
          </w:p>
        </w:tc>
      </w:tr>
      <w:tr w:rsidR="00AD1A3C" w:rsidRPr="00184E98" w14:paraId="0CFE64A9" w14:textId="77777777" w:rsidTr="00AD1A3C">
        <w:trPr>
          <w:trHeight w:hRule="exact" w:val="319"/>
        </w:trPr>
        <w:tc>
          <w:tcPr>
            <w:tcW w:w="2616" w:type="dxa"/>
            <w:tcBorders>
              <w:top w:val="single" w:sz="5" w:space="0" w:color="000000"/>
              <w:left w:val="single" w:sz="5" w:space="0" w:color="000000"/>
              <w:bottom w:val="single" w:sz="5" w:space="0" w:color="000000"/>
              <w:right w:val="single" w:sz="5" w:space="0" w:color="000000"/>
            </w:tcBorders>
            <w:shd w:val="clear" w:color="auto" w:fill="FF0000"/>
          </w:tcPr>
          <w:p w14:paraId="46112CBB" w14:textId="77777777" w:rsidR="00AD1A3C" w:rsidRPr="00184E98" w:rsidRDefault="00AD1A3C" w:rsidP="00AD1A3C">
            <w:pPr>
              <w:widowControl w:val="0"/>
              <w:spacing w:before="0" w:after="0" w:line="264" w:lineRule="exact"/>
              <w:ind w:left="99"/>
              <w:rPr>
                <w:rFonts w:ascii="Calibri" w:eastAsia="Calibri" w:hAnsi="Calibri" w:cs="Calibri"/>
              </w:rPr>
            </w:pPr>
            <w:r w:rsidRPr="00184E98">
              <w:rPr>
                <w:rFonts w:ascii="Calibri" w:eastAsiaTheme="minorHAnsi"/>
                <w:spacing w:val="-1"/>
              </w:rPr>
              <w:t>Critical</w:t>
            </w:r>
          </w:p>
        </w:tc>
        <w:tc>
          <w:tcPr>
            <w:tcW w:w="4303" w:type="dxa"/>
            <w:tcBorders>
              <w:top w:val="single" w:sz="5" w:space="0" w:color="000000"/>
              <w:left w:val="single" w:sz="5" w:space="0" w:color="000000"/>
              <w:bottom w:val="single" w:sz="5" w:space="0" w:color="000000"/>
              <w:right w:val="single" w:sz="5" w:space="0" w:color="000000"/>
            </w:tcBorders>
          </w:tcPr>
          <w:p w14:paraId="1BEDCDD7" w14:textId="77777777" w:rsidR="00AD1A3C" w:rsidRPr="00184E98" w:rsidRDefault="00AD1A3C" w:rsidP="00AD1A3C">
            <w:pPr>
              <w:widowControl w:val="0"/>
              <w:spacing w:before="0" w:after="0" w:line="264" w:lineRule="exact"/>
              <w:ind w:left="102"/>
              <w:jc w:val="center"/>
              <w:rPr>
                <w:rFonts w:ascii="Calibri" w:eastAsia="Calibri" w:hAnsi="Calibri" w:cs="Calibri"/>
              </w:rPr>
            </w:pPr>
            <w:r w:rsidRPr="00184E98">
              <w:rPr>
                <w:rFonts w:ascii="Calibri" w:eastAsiaTheme="minorHAnsi"/>
                <w:spacing w:val="-2"/>
              </w:rPr>
              <w:t>0.0-4.9</w:t>
            </w:r>
          </w:p>
        </w:tc>
      </w:tr>
    </w:tbl>
    <w:p w14:paraId="166859AD" w14:textId="77777777" w:rsidR="00A3679A" w:rsidRDefault="00A3679A" w:rsidP="00510915">
      <w:pPr>
        <w:pStyle w:val="Title"/>
        <w:jc w:val="center"/>
      </w:pPr>
    </w:p>
    <w:p w14:paraId="3C44F0C1" w14:textId="77777777" w:rsidR="00A3679A" w:rsidRDefault="00A3679A" w:rsidP="00510915">
      <w:pPr>
        <w:pStyle w:val="Title"/>
        <w:jc w:val="center"/>
      </w:pPr>
    </w:p>
    <w:p w14:paraId="3BD4EAB7" w14:textId="77777777" w:rsidR="00A3679A" w:rsidRDefault="00A3679A" w:rsidP="00510915">
      <w:pPr>
        <w:pStyle w:val="Title"/>
        <w:jc w:val="center"/>
      </w:pPr>
    </w:p>
    <w:p w14:paraId="723D36B5" w14:textId="77777777" w:rsidR="00A3679A" w:rsidRDefault="00A3679A" w:rsidP="00510915">
      <w:pPr>
        <w:pStyle w:val="Title"/>
        <w:jc w:val="center"/>
      </w:pPr>
    </w:p>
    <w:p w14:paraId="3168C1DB" w14:textId="77777777" w:rsidR="00A3679A" w:rsidRDefault="00A3679A" w:rsidP="00510915">
      <w:pPr>
        <w:pStyle w:val="Title"/>
        <w:jc w:val="center"/>
      </w:pPr>
    </w:p>
    <w:p w14:paraId="1AE1AB07" w14:textId="77777777" w:rsidR="00A3679A" w:rsidRDefault="00A3679A" w:rsidP="00510915">
      <w:pPr>
        <w:pStyle w:val="Title"/>
        <w:jc w:val="center"/>
      </w:pPr>
    </w:p>
    <w:p w14:paraId="5E6AF56C" w14:textId="77777777" w:rsidR="00A3679A" w:rsidRDefault="00A3679A" w:rsidP="00510915">
      <w:pPr>
        <w:pStyle w:val="Title"/>
        <w:jc w:val="center"/>
      </w:pPr>
    </w:p>
    <w:p w14:paraId="48560DD2" w14:textId="77777777" w:rsidR="00A3679A" w:rsidRDefault="00A3679A" w:rsidP="00510915">
      <w:pPr>
        <w:pStyle w:val="Title"/>
        <w:jc w:val="center"/>
      </w:pPr>
    </w:p>
    <w:p w14:paraId="285D061C" w14:textId="77777777" w:rsidR="00A3679A" w:rsidRDefault="00A3679A" w:rsidP="00510915">
      <w:pPr>
        <w:pStyle w:val="Title"/>
        <w:jc w:val="center"/>
      </w:pPr>
    </w:p>
    <w:p w14:paraId="13C02B54" w14:textId="77777777" w:rsidR="00A3679A" w:rsidRDefault="00A3679A" w:rsidP="00510915">
      <w:pPr>
        <w:pStyle w:val="Title"/>
        <w:jc w:val="center"/>
      </w:pPr>
    </w:p>
    <w:p w14:paraId="4E4AF01C" w14:textId="77777777" w:rsidR="00A3679A" w:rsidRDefault="00A3679A" w:rsidP="00510915">
      <w:pPr>
        <w:pStyle w:val="Title"/>
        <w:jc w:val="center"/>
      </w:pPr>
    </w:p>
    <w:p w14:paraId="2BEA3DA9" w14:textId="77777777" w:rsidR="00A3679A" w:rsidRDefault="00A3679A" w:rsidP="00510915">
      <w:pPr>
        <w:pStyle w:val="Title"/>
        <w:jc w:val="center"/>
      </w:pPr>
    </w:p>
    <w:p w14:paraId="544C4DEA" w14:textId="77777777" w:rsidR="00FD77F7" w:rsidRDefault="00F41CCE" w:rsidP="00510915">
      <w:pPr>
        <w:pStyle w:val="Title"/>
        <w:jc w:val="center"/>
      </w:pPr>
      <w:r>
        <w:lastRenderedPageBreak/>
        <w:t xml:space="preserve">2019-2020 </w:t>
      </w:r>
      <w:r w:rsidR="004D4A3D">
        <w:t>Re-</w:t>
      </w:r>
      <w:r>
        <w:t>Evaluation and Considerations</w:t>
      </w:r>
    </w:p>
    <w:p w14:paraId="0E55FBD4" w14:textId="7173705F" w:rsidR="00A46FDF" w:rsidRDefault="00F41CCE" w:rsidP="00FD77F7">
      <w:pPr>
        <w:rPr>
          <w:sz w:val="22"/>
          <w:szCs w:val="22"/>
        </w:rPr>
      </w:pPr>
      <w:r>
        <w:rPr>
          <w:sz w:val="22"/>
          <w:szCs w:val="22"/>
        </w:rPr>
        <w:t>In acknowledgement of the evolving student population at Beacon Academy, t</w:t>
      </w:r>
      <w:r w:rsidR="00FD77F7" w:rsidRPr="00A46FDF">
        <w:rPr>
          <w:sz w:val="22"/>
          <w:szCs w:val="22"/>
        </w:rPr>
        <w:t>he measures presented in this sub-section will be reported to the Authority on an annual basis, but will not be included as part of Beacon Academy’s accountability</w:t>
      </w:r>
      <w:r w:rsidR="005E31A8">
        <w:rPr>
          <w:sz w:val="22"/>
          <w:szCs w:val="22"/>
        </w:rPr>
        <w:t xml:space="preserve"> framework during the 2016-17,</w:t>
      </w:r>
      <w:r w:rsidR="00FD77F7" w:rsidRPr="00A46FDF">
        <w:rPr>
          <w:sz w:val="22"/>
          <w:szCs w:val="22"/>
        </w:rPr>
        <w:t xml:space="preserve"> 2017-18</w:t>
      </w:r>
      <w:r w:rsidR="005E31A8">
        <w:rPr>
          <w:sz w:val="22"/>
          <w:szCs w:val="22"/>
        </w:rPr>
        <w:t>, or 2018-19</w:t>
      </w:r>
      <w:r w:rsidR="00FD77F7" w:rsidRPr="00A46FDF">
        <w:rPr>
          <w:sz w:val="22"/>
          <w:szCs w:val="22"/>
        </w:rPr>
        <w:t xml:space="preserve"> school years. </w:t>
      </w:r>
    </w:p>
    <w:p w14:paraId="7EDE5EC7" w14:textId="67466594" w:rsidR="00B133D6" w:rsidRPr="005E31A8" w:rsidRDefault="00FD77F7" w:rsidP="005E31A8">
      <w:pPr>
        <w:rPr>
          <w:sz w:val="22"/>
          <w:szCs w:val="22"/>
        </w:rPr>
      </w:pPr>
      <w:r w:rsidRPr="00A46FDF">
        <w:rPr>
          <w:sz w:val="22"/>
          <w:szCs w:val="22"/>
        </w:rPr>
        <w:t>In the fall o</w:t>
      </w:r>
      <w:r w:rsidR="00CB798E">
        <w:rPr>
          <w:sz w:val="22"/>
          <w:szCs w:val="22"/>
        </w:rPr>
        <w:t>f 2019 the goals presented in the framework outlined in the prior sections</w:t>
      </w:r>
      <w:r w:rsidRPr="00A46FDF">
        <w:rPr>
          <w:sz w:val="22"/>
          <w:szCs w:val="22"/>
        </w:rPr>
        <w:t xml:space="preserve"> will be re-evaluated for rigor and applicability, and </w:t>
      </w:r>
      <w:r w:rsidR="00946AF1">
        <w:rPr>
          <w:sz w:val="22"/>
          <w:szCs w:val="22"/>
        </w:rPr>
        <w:t xml:space="preserve">the </w:t>
      </w:r>
      <w:r w:rsidRPr="00A46FDF">
        <w:rPr>
          <w:sz w:val="22"/>
          <w:szCs w:val="22"/>
        </w:rPr>
        <w:t>measure</w:t>
      </w:r>
      <w:r w:rsidR="00946AF1">
        <w:rPr>
          <w:sz w:val="22"/>
          <w:szCs w:val="22"/>
        </w:rPr>
        <w:t>s</w:t>
      </w:r>
      <w:r w:rsidRPr="00A46FDF">
        <w:rPr>
          <w:sz w:val="22"/>
          <w:szCs w:val="22"/>
        </w:rPr>
        <w:t xml:space="preserve"> presented below will be evaluated for addition to Beacon’s accountability framework.</w:t>
      </w:r>
    </w:p>
    <w:p w14:paraId="07D9CADD" w14:textId="77777777" w:rsidR="00F41CCE" w:rsidRDefault="00A83542" w:rsidP="00F41CCE">
      <w:pPr>
        <w:pStyle w:val="Heading1"/>
        <w:rPr>
          <w:rFonts w:eastAsia="Calibri"/>
        </w:rPr>
      </w:pPr>
      <w:bookmarkStart w:id="80" w:name="_Toc474838425"/>
      <w:bookmarkStart w:id="81" w:name="_Toc474843276"/>
      <w:bookmarkStart w:id="82" w:name="_Toc474940178"/>
      <w:r>
        <w:rPr>
          <w:rFonts w:eastAsia="Calibri"/>
        </w:rPr>
        <w:t>Student Engagement Measure 4</w:t>
      </w:r>
      <w:r w:rsidR="00F41CCE">
        <w:rPr>
          <w:rFonts w:eastAsia="Calibri"/>
        </w:rPr>
        <w:t>.c. Chronic absence/Truancy</w:t>
      </w:r>
      <w:bookmarkEnd w:id="80"/>
      <w:bookmarkEnd w:id="81"/>
      <w:bookmarkEnd w:id="82"/>
    </w:p>
    <w:p w14:paraId="494843DF" w14:textId="77777777" w:rsidR="00F41CCE" w:rsidRDefault="00F41CCE" w:rsidP="00F41CCE">
      <w:r w:rsidRPr="001502C3">
        <w:rPr>
          <w:u w:val="single"/>
        </w:rPr>
        <w:t>Metric:</w:t>
      </w:r>
      <w:r>
        <w:t xml:space="preserve"> Percent of students that are chronically absent, or truant</w:t>
      </w:r>
    </w:p>
    <w:p w14:paraId="7460ACB3" w14:textId="77777777" w:rsidR="00F41CCE" w:rsidRDefault="00F41CCE" w:rsidP="00F41CCE">
      <w:r w:rsidRPr="001502C3">
        <w:rPr>
          <w:u w:val="single"/>
        </w:rPr>
        <w:t>Applicable grade levels</w:t>
      </w:r>
      <w:r>
        <w:t>: All students aged 17 or younger</w:t>
      </w:r>
    </w:p>
    <w:p w14:paraId="2ED2029E" w14:textId="77777777" w:rsidR="00F41CCE" w:rsidRPr="007B3A8A" w:rsidRDefault="00F41CCE" w:rsidP="005A204F">
      <w:r w:rsidRPr="001502C3">
        <w:rPr>
          <w:u w:val="single"/>
        </w:rPr>
        <w:t>Chronic absence/truancy</w:t>
      </w:r>
      <w:r>
        <w:t>: Following Nevada’s statutory definition, student that are chronically absent, or truant, are those that miss 10 percent of the total possible number of school days each year (or 18 days for the typical 180 day school year). For students that enroll in the school later in the school year, the proportion of the school year missed will need to be prorated, based on the actual number of consecutive school days the student was enrolled.</w:t>
      </w:r>
      <w:r w:rsidR="007B3A8A">
        <w:tab/>
      </w:r>
    </w:p>
    <w:p w14:paraId="7E06FD53" w14:textId="77777777" w:rsidR="00F41CCE" w:rsidRDefault="00A83542" w:rsidP="00F41CCE">
      <w:pPr>
        <w:pStyle w:val="Heading1"/>
      </w:pPr>
      <w:bookmarkStart w:id="83" w:name="_Toc474838426"/>
      <w:bookmarkStart w:id="84" w:name="_Toc474843278"/>
      <w:bookmarkStart w:id="85" w:name="_Toc474940180"/>
      <w:r>
        <w:t>School Culture Measure 5</w:t>
      </w:r>
      <w:r w:rsidR="00F41CCE">
        <w:t>.a. Student Well-Being</w:t>
      </w:r>
      <w:bookmarkEnd w:id="83"/>
      <w:bookmarkEnd w:id="84"/>
      <w:bookmarkEnd w:id="85"/>
    </w:p>
    <w:p w14:paraId="6D315DA0" w14:textId="77777777" w:rsidR="00F41CCE" w:rsidRDefault="00F41CCE" w:rsidP="00F41CCE">
      <w:r w:rsidRPr="001502C3">
        <w:rPr>
          <w:u w:val="single"/>
        </w:rPr>
        <w:t>Metric</w:t>
      </w:r>
      <w:r>
        <w:t>: Percent of matched students to report and/or demonstrate positive changes in behavior and/or well-being</w:t>
      </w:r>
    </w:p>
    <w:p w14:paraId="2BF4CDCF" w14:textId="77777777" w:rsidR="00F41CCE" w:rsidRDefault="00F41CCE" w:rsidP="00F41CCE">
      <w:r w:rsidRPr="001502C3">
        <w:rPr>
          <w:u w:val="single"/>
        </w:rPr>
        <w:t>Methods of collecting data</w:t>
      </w:r>
      <w:r>
        <w:t>: The exact survey tool(s) and data collection rubrics have not yet been decided on. Momentum is assisting Beacon in the selection and/or development of surveys and data collection tools, which will be approved by the Authority prior to implementation. In general, data will be collected from multiple sources, including the students, their families, teachers and/or social workers that work with students, and possibly via an external evaluation process to be administered on a semi-regular basis.</w:t>
      </w:r>
    </w:p>
    <w:p w14:paraId="69883CEA" w14:textId="77777777" w:rsidR="00F41CCE" w:rsidRDefault="00F41CCE" w:rsidP="00F41CCE">
      <w:r>
        <w:t>The goal of the instruments will be to record student behaviors and attitudes toward school at multiple points in time to assess whether those behaviors and attitudes are changing overtime as a result of their experience with the school. The selection of these surveys, rubrics, data collection instruments will be based on 1) applicability to the students served by Beacon, 2) published reliability and validity information, 3) Beacon’s capacity to administer the tool(s) in a valid and reliable manner, 4) cost of administration, analysis, and interpretation, and 5) the utility of the resulting data to help Beacon staff educate and support the students.</w:t>
      </w:r>
    </w:p>
    <w:p w14:paraId="2A95C682" w14:textId="77777777" w:rsidR="00F41CCE" w:rsidRDefault="00A83542" w:rsidP="00F41CCE">
      <w:pPr>
        <w:pStyle w:val="Heading1"/>
      </w:pPr>
      <w:bookmarkStart w:id="86" w:name="_Toc474838427"/>
      <w:bookmarkStart w:id="87" w:name="_Toc474843279"/>
      <w:bookmarkStart w:id="88" w:name="_Toc474940181"/>
      <w:r>
        <w:t>School Culture Measure 5</w:t>
      </w:r>
      <w:r w:rsidR="00F41CCE">
        <w:t>.b. School Support</w:t>
      </w:r>
      <w:bookmarkEnd w:id="86"/>
      <w:bookmarkEnd w:id="87"/>
      <w:bookmarkEnd w:id="88"/>
    </w:p>
    <w:p w14:paraId="4EED3979" w14:textId="77777777" w:rsidR="00F41CCE" w:rsidRDefault="00F41CCE" w:rsidP="00F41CCE">
      <w:r w:rsidRPr="001502C3">
        <w:rPr>
          <w:u w:val="single"/>
        </w:rPr>
        <w:t>Metric</w:t>
      </w:r>
      <w:r>
        <w:t>: Percent of students reporting that the school provides supports that they need to be successful</w:t>
      </w:r>
    </w:p>
    <w:p w14:paraId="2A0FB90E" w14:textId="77777777" w:rsidR="00F41CCE" w:rsidRDefault="00F41CCE" w:rsidP="00F41CCE">
      <w:r w:rsidRPr="001502C3">
        <w:rPr>
          <w:u w:val="single"/>
        </w:rPr>
        <w:t>Methods of collecting data</w:t>
      </w:r>
      <w:r>
        <w:t xml:space="preserve">: The exact survey has not yet been decided on. Momentum is assisting Beacon in the selection and/or development of a survey, which will be approved by the Authority prior to implementation. </w:t>
      </w:r>
    </w:p>
    <w:p w14:paraId="383B1737" w14:textId="77777777" w:rsidR="00F41CCE" w:rsidRDefault="00F41CCE" w:rsidP="00F41CCE">
      <w:r>
        <w:lastRenderedPageBreak/>
        <w:t>The goal of the survey will be to evaluate whether students are utilizing the support opportunities offered by the school and whether they students feel that these supports are preparing them to be successful in life (broadly defined). The selection of the survey will be based on 1) applicability to the students served by Beacon, 2) published reliability and validity information, 3) Beacon’s capacity to administer the tool(s) in a valid and reliable manner, 4) cost of administration, analysis, and interpretation, and 5) the utility of the resulting data to help Beacon staff educate and support the students.</w:t>
      </w:r>
    </w:p>
    <w:p w14:paraId="4DF67D9C" w14:textId="77777777" w:rsidR="00F41CCE" w:rsidRDefault="00A83542" w:rsidP="00F41CCE">
      <w:pPr>
        <w:pStyle w:val="Heading1"/>
      </w:pPr>
      <w:bookmarkStart w:id="89" w:name="_Toc474838428"/>
      <w:bookmarkStart w:id="90" w:name="_Toc474843280"/>
      <w:bookmarkStart w:id="91" w:name="_Toc474940182"/>
      <w:r>
        <w:t>School Culture Measure 5</w:t>
      </w:r>
      <w:r w:rsidR="00F41CCE">
        <w:t>.c. Student Behavior</w:t>
      </w:r>
      <w:bookmarkEnd w:id="89"/>
      <w:bookmarkEnd w:id="90"/>
      <w:bookmarkEnd w:id="91"/>
    </w:p>
    <w:p w14:paraId="043DA158" w14:textId="77777777" w:rsidR="00F41CCE" w:rsidRDefault="00F41CCE" w:rsidP="00F41CCE">
      <w:r w:rsidRPr="006A55F0">
        <w:rPr>
          <w:u w:val="single"/>
        </w:rPr>
        <w:t>Metric</w:t>
      </w:r>
      <w:r>
        <w:t>: Percent of students that had behavioral incidents prior to enrolling in Beacon that decrease the frequency and/or severity of behavioral incidents while attending Beacon.</w:t>
      </w:r>
    </w:p>
    <w:p w14:paraId="1C73AF48" w14:textId="77777777" w:rsidR="00F41CCE" w:rsidRDefault="00F41CCE" w:rsidP="00F41CCE">
      <w:pPr>
        <w:pStyle w:val="Heading2"/>
      </w:pPr>
      <w:bookmarkStart w:id="92" w:name="_Toc474843281"/>
      <w:bookmarkStart w:id="93" w:name="_Toc474940183"/>
      <w:r>
        <w:t>Computing the Metric</w:t>
      </w:r>
      <w:bookmarkEnd w:id="92"/>
      <w:bookmarkEnd w:id="93"/>
    </w:p>
    <w:p w14:paraId="1D181BF3" w14:textId="77777777" w:rsidR="00F41CCE" w:rsidRDefault="00F41CCE" w:rsidP="00F41CCE">
      <w:pPr>
        <w:pStyle w:val="Heading3"/>
      </w:pPr>
      <w:bookmarkStart w:id="94" w:name="_Toc474843282"/>
      <w:bookmarkStart w:id="95" w:name="_Toc474940184"/>
      <w:r>
        <w:t>Numerator</w:t>
      </w:r>
      <w:bookmarkEnd w:id="94"/>
      <w:bookmarkEnd w:id="95"/>
    </w:p>
    <w:p w14:paraId="40F4F4FF" w14:textId="641CCBFB" w:rsidR="00F41CCE" w:rsidRDefault="00F41CCE" w:rsidP="00F41CCE">
      <w:pPr>
        <w:jc w:val="center"/>
      </w:pPr>
      <w:r>
        <w:t xml:space="preserve">Number of students enrolled throughout the year that had at least one behavior incident reported while attending the school for the current year </w:t>
      </w:r>
      <w:r w:rsidRPr="002E7CC9">
        <w:rPr>
          <w:u w:val="single"/>
        </w:rPr>
        <w:t>AND</w:t>
      </w:r>
      <w:r>
        <w:t xml:space="preserve"> had a history of behavior incidents within </w:t>
      </w:r>
      <w:r w:rsidR="0081514F">
        <w:t>the three years prior to</w:t>
      </w:r>
      <w:r>
        <w:t xml:space="preserve"> enrolling in the school</w:t>
      </w:r>
    </w:p>
    <w:p w14:paraId="1067AB90" w14:textId="77777777" w:rsidR="00F41CCE" w:rsidRDefault="00F41CCE" w:rsidP="00F41CCE">
      <w:pPr>
        <w:pStyle w:val="Heading3"/>
      </w:pPr>
      <w:bookmarkStart w:id="96" w:name="_Toc474843283"/>
      <w:bookmarkStart w:id="97" w:name="_Toc474940185"/>
      <w:r>
        <w:t>Denominator</w:t>
      </w:r>
      <w:bookmarkEnd w:id="96"/>
      <w:bookmarkEnd w:id="97"/>
    </w:p>
    <w:p w14:paraId="170E6704" w14:textId="1A962D07" w:rsidR="00B133D6" w:rsidRDefault="00F41CCE" w:rsidP="00510915">
      <w:pPr>
        <w:jc w:val="center"/>
      </w:pPr>
      <w:r>
        <w:t xml:space="preserve">Total number of students with histories of behavior incidents within </w:t>
      </w:r>
      <w:r w:rsidR="0081514F">
        <w:t xml:space="preserve">the </w:t>
      </w:r>
      <w:r>
        <w:t xml:space="preserve">three </w:t>
      </w:r>
      <w:r w:rsidR="0081514F">
        <w:t>years prior to</w:t>
      </w:r>
      <w:r w:rsidR="00510915">
        <w:t xml:space="preserve"> enrolling in the schoo</w:t>
      </w:r>
      <w:r w:rsidR="005E31A8">
        <w:t>l</w:t>
      </w:r>
    </w:p>
    <w:p w14:paraId="1961BC88" w14:textId="77777777" w:rsidR="0081514F" w:rsidRDefault="0081514F" w:rsidP="00510915">
      <w:pPr>
        <w:jc w:val="center"/>
      </w:pPr>
    </w:p>
    <w:p w14:paraId="6D590E6D" w14:textId="77777777" w:rsidR="0081514F" w:rsidRDefault="0081514F" w:rsidP="00510915">
      <w:pPr>
        <w:jc w:val="center"/>
      </w:pPr>
    </w:p>
    <w:p w14:paraId="0C8B5FD1" w14:textId="77777777" w:rsidR="0081514F" w:rsidRDefault="0081514F" w:rsidP="00510915">
      <w:pPr>
        <w:jc w:val="center"/>
      </w:pPr>
    </w:p>
    <w:p w14:paraId="59E77DE9" w14:textId="77777777" w:rsidR="0081514F" w:rsidRDefault="0081514F" w:rsidP="00510915">
      <w:pPr>
        <w:jc w:val="center"/>
      </w:pPr>
    </w:p>
    <w:p w14:paraId="20D63B33" w14:textId="77777777" w:rsidR="0081514F" w:rsidRDefault="0081514F" w:rsidP="00510915">
      <w:pPr>
        <w:jc w:val="center"/>
      </w:pPr>
    </w:p>
    <w:p w14:paraId="55A9C80D" w14:textId="77777777" w:rsidR="0081514F" w:rsidRDefault="0081514F" w:rsidP="00510915">
      <w:pPr>
        <w:jc w:val="center"/>
      </w:pPr>
    </w:p>
    <w:p w14:paraId="6D6C8139" w14:textId="77777777" w:rsidR="0081514F" w:rsidRDefault="0081514F" w:rsidP="00510915">
      <w:pPr>
        <w:jc w:val="center"/>
      </w:pPr>
    </w:p>
    <w:p w14:paraId="76A65420" w14:textId="77777777" w:rsidR="0081514F" w:rsidRDefault="0081514F" w:rsidP="00510915">
      <w:pPr>
        <w:jc w:val="center"/>
      </w:pPr>
    </w:p>
    <w:p w14:paraId="65F64988" w14:textId="77777777" w:rsidR="0081514F" w:rsidRDefault="0081514F" w:rsidP="00510915">
      <w:pPr>
        <w:jc w:val="center"/>
      </w:pPr>
    </w:p>
    <w:p w14:paraId="346FD4A0" w14:textId="77777777" w:rsidR="0081514F" w:rsidRDefault="0081514F" w:rsidP="00510915">
      <w:pPr>
        <w:jc w:val="center"/>
      </w:pPr>
    </w:p>
    <w:p w14:paraId="413CDF62" w14:textId="77777777" w:rsidR="0081514F" w:rsidRDefault="0081514F" w:rsidP="00510915">
      <w:pPr>
        <w:jc w:val="center"/>
      </w:pPr>
    </w:p>
    <w:p w14:paraId="57528399" w14:textId="77777777" w:rsidR="0081514F" w:rsidRDefault="0081514F" w:rsidP="00510915">
      <w:pPr>
        <w:jc w:val="center"/>
      </w:pPr>
    </w:p>
    <w:p w14:paraId="138F6BFC" w14:textId="77777777" w:rsidR="0081514F" w:rsidRDefault="0081514F" w:rsidP="00510915">
      <w:pPr>
        <w:jc w:val="center"/>
      </w:pPr>
    </w:p>
    <w:p w14:paraId="002E6F81" w14:textId="77777777" w:rsidR="0081514F" w:rsidRDefault="0081514F" w:rsidP="00510915">
      <w:pPr>
        <w:jc w:val="center"/>
      </w:pPr>
    </w:p>
    <w:p w14:paraId="0DCA19AD" w14:textId="77777777" w:rsidR="003D337E" w:rsidRDefault="003D337E" w:rsidP="003D337E">
      <w:pPr>
        <w:pStyle w:val="Heading5"/>
      </w:pPr>
      <w:r>
        <w:lastRenderedPageBreak/>
        <w:t>Attachment A: Alternative School Graduation Rates</w:t>
      </w:r>
    </w:p>
    <w:p w14:paraId="1D47CA02" w14:textId="77777777" w:rsidR="00A900A7" w:rsidRPr="003D337E" w:rsidRDefault="003D337E" w:rsidP="003D337E">
      <w:r>
        <w:t>The table below shows the average cohort graduation rates in Arizona, Nevada (schools identified prior to the 2015 legislation), New York City, and Ohio. Locations were selected based on 1) whether the state or district has clear policies to define and identify alternative schools and 2) the use of high school exit or graduation exams for statewide testing.</w:t>
      </w:r>
    </w:p>
    <w:tbl>
      <w:tblPr>
        <w:tblStyle w:val="GridTable3-Accent11"/>
        <w:tblW w:w="0" w:type="auto"/>
        <w:tblLook w:val="04A0" w:firstRow="1" w:lastRow="0" w:firstColumn="1" w:lastColumn="0" w:noHBand="0" w:noVBand="1"/>
      </w:tblPr>
      <w:tblGrid>
        <w:gridCol w:w="3160"/>
        <w:gridCol w:w="1880"/>
        <w:gridCol w:w="1880"/>
        <w:gridCol w:w="1880"/>
      </w:tblGrid>
      <w:tr w:rsidR="003D337E" w:rsidRPr="003D337E" w14:paraId="0FD75BDE" w14:textId="77777777" w:rsidTr="00116CC8">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8800" w:type="dxa"/>
            <w:gridSpan w:val="4"/>
            <w:noWrap/>
            <w:hideMark/>
          </w:tcPr>
          <w:p w14:paraId="661D5F21" w14:textId="77777777" w:rsidR="003D337E" w:rsidRPr="003D337E" w:rsidRDefault="003D337E" w:rsidP="00116CC8">
            <w:pPr>
              <w:jc w:val="center"/>
            </w:pPr>
            <w:r w:rsidRPr="003D337E">
              <w:t>Cohort Graduation Rates among Alternative Education Campuses Across Multiple Locations</w:t>
            </w:r>
            <w:r>
              <w:rPr>
                <w:b w:val="0"/>
                <w:bCs w:val="0"/>
              </w:rPr>
              <w:t>*</w:t>
            </w:r>
          </w:p>
        </w:tc>
      </w:tr>
      <w:tr w:rsidR="003D337E" w:rsidRPr="003D337E" w14:paraId="432D18FE"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53EC162F" w14:textId="77777777" w:rsidR="003D337E" w:rsidRPr="003D337E" w:rsidRDefault="003D337E" w:rsidP="003D337E">
            <w:pPr>
              <w:jc w:val="left"/>
              <w:rPr>
                <w:b/>
                <w:bCs/>
              </w:rPr>
            </w:pPr>
            <w:r w:rsidRPr="003D337E">
              <w:rPr>
                <w:b/>
                <w:bCs/>
              </w:rPr>
              <w:t> </w:t>
            </w:r>
          </w:p>
        </w:tc>
        <w:tc>
          <w:tcPr>
            <w:tcW w:w="1880" w:type="dxa"/>
            <w:noWrap/>
            <w:hideMark/>
          </w:tcPr>
          <w:p w14:paraId="231BEE4E"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4-Year</w:t>
            </w:r>
          </w:p>
        </w:tc>
        <w:tc>
          <w:tcPr>
            <w:tcW w:w="1880" w:type="dxa"/>
            <w:noWrap/>
            <w:hideMark/>
          </w:tcPr>
          <w:p w14:paraId="0191E907"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5-Year</w:t>
            </w:r>
          </w:p>
        </w:tc>
        <w:tc>
          <w:tcPr>
            <w:tcW w:w="1880" w:type="dxa"/>
            <w:noWrap/>
            <w:hideMark/>
          </w:tcPr>
          <w:p w14:paraId="55A557FB"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6-Year</w:t>
            </w:r>
          </w:p>
        </w:tc>
      </w:tr>
      <w:tr w:rsidR="003D337E" w:rsidRPr="003D337E" w14:paraId="30B2D20F" w14:textId="77777777" w:rsidTr="00116CC8">
        <w:trPr>
          <w:trHeight w:val="600"/>
        </w:trPr>
        <w:tc>
          <w:tcPr>
            <w:cnfStyle w:val="001000000000" w:firstRow="0" w:lastRow="0" w:firstColumn="1" w:lastColumn="0" w:oddVBand="0" w:evenVBand="0" w:oddHBand="0" w:evenHBand="0" w:firstRowFirstColumn="0" w:firstRowLastColumn="0" w:lastRowFirstColumn="0" w:lastRowLastColumn="0"/>
            <w:tcW w:w="3160" w:type="dxa"/>
            <w:hideMark/>
          </w:tcPr>
          <w:p w14:paraId="3424A14A" w14:textId="77777777" w:rsidR="003D337E" w:rsidRPr="003D337E" w:rsidRDefault="003D337E" w:rsidP="003D337E">
            <w:pPr>
              <w:jc w:val="left"/>
              <w:rPr>
                <w:b/>
                <w:bCs/>
              </w:rPr>
            </w:pPr>
            <w:r>
              <w:rPr>
                <w:b/>
                <w:bCs/>
              </w:rPr>
              <w:t>Location</w:t>
            </w:r>
            <w:r w:rsidRPr="003D337E">
              <w:rPr>
                <w:b/>
                <w:bCs/>
              </w:rPr>
              <w:t>-Year/Class</w:t>
            </w:r>
          </w:p>
        </w:tc>
        <w:tc>
          <w:tcPr>
            <w:tcW w:w="1880" w:type="dxa"/>
            <w:hideMark/>
          </w:tcPr>
          <w:p w14:paraId="7C4C65A0"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rPr>
                <w:b/>
                <w:bCs/>
              </w:rPr>
            </w:pPr>
            <w:r w:rsidRPr="003D337E">
              <w:rPr>
                <w:b/>
                <w:bCs/>
              </w:rPr>
              <w:t>Ave (# of schools with data)</w:t>
            </w:r>
          </w:p>
        </w:tc>
        <w:tc>
          <w:tcPr>
            <w:tcW w:w="1880" w:type="dxa"/>
            <w:hideMark/>
          </w:tcPr>
          <w:p w14:paraId="19E3B1D9"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rPr>
                <w:b/>
                <w:bCs/>
              </w:rPr>
            </w:pPr>
            <w:r w:rsidRPr="003D337E">
              <w:rPr>
                <w:b/>
                <w:bCs/>
              </w:rPr>
              <w:t>Ave (# of schools with data)</w:t>
            </w:r>
          </w:p>
        </w:tc>
        <w:tc>
          <w:tcPr>
            <w:tcW w:w="1880" w:type="dxa"/>
            <w:hideMark/>
          </w:tcPr>
          <w:p w14:paraId="4F2A9C16"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rPr>
                <w:b/>
                <w:bCs/>
              </w:rPr>
            </w:pPr>
            <w:r w:rsidRPr="003D337E">
              <w:rPr>
                <w:b/>
                <w:bCs/>
              </w:rPr>
              <w:t>Ave (# of schools with data)</w:t>
            </w:r>
          </w:p>
        </w:tc>
      </w:tr>
      <w:tr w:rsidR="003D337E" w:rsidRPr="003D337E" w14:paraId="51F96C10"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573149A9" w14:textId="77777777" w:rsidR="003D337E" w:rsidRPr="003D337E" w:rsidRDefault="003D337E" w:rsidP="00116CC8">
            <w:pPr>
              <w:jc w:val="left"/>
            </w:pPr>
            <w:r w:rsidRPr="003D337E">
              <w:t>Arizona-Class of 2012</w:t>
            </w:r>
          </w:p>
        </w:tc>
        <w:tc>
          <w:tcPr>
            <w:tcW w:w="1880" w:type="dxa"/>
            <w:noWrap/>
            <w:hideMark/>
          </w:tcPr>
          <w:p w14:paraId="18E3CBC9"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33% (161)</w:t>
            </w:r>
          </w:p>
        </w:tc>
        <w:tc>
          <w:tcPr>
            <w:tcW w:w="1880" w:type="dxa"/>
            <w:noWrap/>
            <w:hideMark/>
          </w:tcPr>
          <w:p w14:paraId="760DAD5E"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40% (161)</w:t>
            </w:r>
          </w:p>
        </w:tc>
        <w:tc>
          <w:tcPr>
            <w:tcW w:w="1880" w:type="dxa"/>
            <w:noWrap/>
            <w:hideMark/>
          </w:tcPr>
          <w:p w14:paraId="05C0D6B4" w14:textId="77777777" w:rsidR="003D337E" w:rsidRPr="003D337E" w:rsidRDefault="003D337E">
            <w:pPr>
              <w:cnfStyle w:val="000000100000" w:firstRow="0" w:lastRow="0" w:firstColumn="0" w:lastColumn="0" w:oddVBand="0" w:evenVBand="0" w:oddHBand="1" w:evenHBand="0" w:firstRowFirstColumn="0" w:firstRowLastColumn="0" w:lastRowFirstColumn="0" w:lastRowLastColumn="0"/>
            </w:pPr>
            <w:r w:rsidRPr="003D337E">
              <w:t> </w:t>
            </w:r>
          </w:p>
        </w:tc>
      </w:tr>
      <w:tr w:rsidR="003D337E" w:rsidRPr="003D337E" w14:paraId="73071B1A"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68B39640" w14:textId="77777777" w:rsidR="003D337E" w:rsidRPr="003D337E" w:rsidRDefault="003D337E" w:rsidP="00116CC8">
            <w:pPr>
              <w:jc w:val="left"/>
            </w:pPr>
            <w:r w:rsidRPr="003D337E">
              <w:t>Arizona-Class of 2013</w:t>
            </w:r>
          </w:p>
        </w:tc>
        <w:tc>
          <w:tcPr>
            <w:tcW w:w="1880" w:type="dxa"/>
            <w:noWrap/>
            <w:hideMark/>
          </w:tcPr>
          <w:p w14:paraId="4C97F96E"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33% (147)</w:t>
            </w:r>
          </w:p>
        </w:tc>
        <w:tc>
          <w:tcPr>
            <w:tcW w:w="1880" w:type="dxa"/>
            <w:noWrap/>
            <w:hideMark/>
          </w:tcPr>
          <w:p w14:paraId="7D48C52D"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44% (148)</w:t>
            </w:r>
          </w:p>
        </w:tc>
        <w:tc>
          <w:tcPr>
            <w:tcW w:w="1880" w:type="dxa"/>
            <w:noWrap/>
            <w:hideMark/>
          </w:tcPr>
          <w:p w14:paraId="6BC155D7" w14:textId="77777777" w:rsidR="003D337E" w:rsidRPr="003D337E" w:rsidRDefault="003D337E">
            <w:pPr>
              <w:cnfStyle w:val="000000000000" w:firstRow="0" w:lastRow="0" w:firstColumn="0" w:lastColumn="0" w:oddVBand="0" w:evenVBand="0" w:oddHBand="0" w:evenHBand="0" w:firstRowFirstColumn="0" w:firstRowLastColumn="0" w:lastRowFirstColumn="0" w:lastRowLastColumn="0"/>
            </w:pPr>
            <w:r w:rsidRPr="003D337E">
              <w:t> </w:t>
            </w:r>
          </w:p>
        </w:tc>
      </w:tr>
      <w:tr w:rsidR="003D337E" w:rsidRPr="003D337E" w14:paraId="16003E83"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72A7BA57" w14:textId="77777777" w:rsidR="003D337E" w:rsidRPr="003D337E" w:rsidRDefault="003D337E" w:rsidP="00116CC8">
            <w:pPr>
              <w:jc w:val="left"/>
            </w:pPr>
            <w:r w:rsidRPr="003D337E">
              <w:t>Nevada-Class of 2011</w:t>
            </w:r>
          </w:p>
        </w:tc>
        <w:tc>
          <w:tcPr>
            <w:tcW w:w="1880" w:type="dxa"/>
            <w:noWrap/>
            <w:hideMark/>
          </w:tcPr>
          <w:p w14:paraId="27A48C39"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23% (6)</w:t>
            </w:r>
          </w:p>
        </w:tc>
        <w:tc>
          <w:tcPr>
            <w:tcW w:w="1880" w:type="dxa"/>
            <w:noWrap/>
            <w:hideMark/>
          </w:tcPr>
          <w:p w14:paraId="6EA440D8"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 </w:t>
            </w:r>
          </w:p>
        </w:tc>
        <w:tc>
          <w:tcPr>
            <w:tcW w:w="1880" w:type="dxa"/>
            <w:noWrap/>
            <w:hideMark/>
          </w:tcPr>
          <w:p w14:paraId="2E588C04" w14:textId="77777777" w:rsidR="003D337E" w:rsidRPr="003D337E" w:rsidRDefault="003D337E">
            <w:pPr>
              <w:cnfStyle w:val="000000100000" w:firstRow="0" w:lastRow="0" w:firstColumn="0" w:lastColumn="0" w:oddVBand="0" w:evenVBand="0" w:oddHBand="1" w:evenHBand="0" w:firstRowFirstColumn="0" w:firstRowLastColumn="0" w:lastRowFirstColumn="0" w:lastRowLastColumn="0"/>
            </w:pPr>
            <w:r w:rsidRPr="003D337E">
              <w:t> </w:t>
            </w:r>
          </w:p>
        </w:tc>
      </w:tr>
      <w:tr w:rsidR="003D337E" w:rsidRPr="003D337E" w14:paraId="0C5FE679"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226ADEE4" w14:textId="77777777" w:rsidR="003D337E" w:rsidRPr="003D337E" w:rsidRDefault="003D337E" w:rsidP="00116CC8">
            <w:pPr>
              <w:jc w:val="left"/>
            </w:pPr>
            <w:r w:rsidRPr="003D337E">
              <w:t>Nevada-Class of 2012</w:t>
            </w:r>
          </w:p>
        </w:tc>
        <w:tc>
          <w:tcPr>
            <w:tcW w:w="1880" w:type="dxa"/>
            <w:noWrap/>
            <w:hideMark/>
          </w:tcPr>
          <w:p w14:paraId="78F58640"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19% (4)</w:t>
            </w:r>
          </w:p>
        </w:tc>
        <w:tc>
          <w:tcPr>
            <w:tcW w:w="1880" w:type="dxa"/>
            <w:noWrap/>
            <w:hideMark/>
          </w:tcPr>
          <w:p w14:paraId="7E2C32A4"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 </w:t>
            </w:r>
          </w:p>
        </w:tc>
        <w:tc>
          <w:tcPr>
            <w:tcW w:w="1880" w:type="dxa"/>
            <w:noWrap/>
            <w:hideMark/>
          </w:tcPr>
          <w:p w14:paraId="009FC547" w14:textId="77777777" w:rsidR="003D337E" w:rsidRPr="003D337E" w:rsidRDefault="003D337E">
            <w:pPr>
              <w:cnfStyle w:val="000000000000" w:firstRow="0" w:lastRow="0" w:firstColumn="0" w:lastColumn="0" w:oddVBand="0" w:evenVBand="0" w:oddHBand="0" w:evenHBand="0" w:firstRowFirstColumn="0" w:firstRowLastColumn="0" w:lastRowFirstColumn="0" w:lastRowLastColumn="0"/>
            </w:pPr>
            <w:r w:rsidRPr="003D337E">
              <w:t> </w:t>
            </w:r>
          </w:p>
        </w:tc>
      </w:tr>
      <w:tr w:rsidR="003D337E" w:rsidRPr="003D337E" w14:paraId="4C6DAF33"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561973D8" w14:textId="77777777" w:rsidR="003D337E" w:rsidRPr="003D337E" w:rsidRDefault="003D337E" w:rsidP="00116CC8">
            <w:pPr>
              <w:jc w:val="left"/>
            </w:pPr>
            <w:r w:rsidRPr="003D337E">
              <w:t>Nevada-Class of 2013</w:t>
            </w:r>
          </w:p>
        </w:tc>
        <w:tc>
          <w:tcPr>
            <w:tcW w:w="1880" w:type="dxa"/>
            <w:noWrap/>
            <w:hideMark/>
          </w:tcPr>
          <w:p w14:paraId="297DFA2D"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26% (6)</w:t>
            </w:r>
          </w:p>
        </w:tc>
        <w:tc>
          <w:tcPr>
            <w:tcW w:w="1880" w:type="dxa"/>
            <w:noWrap/>
            <w:hideMark/>
          </w:tcPr>
          <w:p w14:paraId="60F36444"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 </w:t>
            </w:r>
          </w:p>
        </w:tc>
        <w:tc>
          <w:tcPr>
            <w:tcW w:w="1880" w:type="dxa"/>
            <w:noWrap/>
            <w:hideMark/>
          </w:tcPr>
          <w:p w14:paraId="745A6F53" w14:textId="77777777" w:rsidR="003D337E" w:rsidRPr="003D337E" w:rsidRDefault="003D337E">
            <w:pPr>
              <w:cnfStyle w:val="000000100000" w:firstRow="0" w:lastRow="0" w:firstColumn="0" w:lastColumn="0" w:oddVBand="0" w:evenVBand="0" w:oddHBand="1" w:evenHBand="0" w:firstRowFirstColumn="0" w:firstRowLastColumn="0" w:lastRowFirstColumn="0" w:lastRowLastColumn="0"/>
            </w:pPr>
            <w:r w:rsidRPr="003D337E">
              <w:t> </w:t>
            </w:r>
          </w:p>
        </w:tc>
      </w:tr>
      <w:tr w:rsidR="003D337E" w:rsidRPr="003D337E" w14:paraId="17180529"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26E70EAC" w14:textId="77777777" w:rsidR="003D337E" w:rsidRPr="003D337E" w:rsidRDefault="003D337E" w:rsidP="00116CC8">
            <w:pPr>
              <w:jc w:val="left"/>
            </w:pPr>
            <w:r w:rsidRPr="003D337E">
              <w:t>Nevada-Class of 2014</w:t>
            </w:r>
          </w:p>
        </w:tc>
        <w:tc>
          <w:tcPr>
            <w:tcW w:w="1880" w:type="dxa"/>
            <w:noWrap/>
            <w:hideMark/>
          </w:tcPr>
          <w:p w14:paraId="092A997B"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36% (5)</w:t>
            </w:r>
          </w:p>
        </w:tc>
        <w:tc>
          <w:tcPr>
            <w:tcW w:w="1880" w:type="dxa"/>
            <w:noWrap/>
            <w:hideMark/>
          </w:tcPr>
          <w:p w14:paraId="424EB19D"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 </w:t>
            </w:r>
          </w:p>
        </w:tc>
        <w:tc>
          <w:tcPr>
            <w:tcW w:w="1880" w:type="dxa"/>
            <w:noWrap/>
            <w:hideMark/>
          </w:tcPr>
          <w:p w14:paraId="6000BB23" w14:textId="77777777" w:rsidR="003D337E" w:rsidRPr="003D337E" w:rsidRDefault="003D337E">
            <w:pPr>
              <w:cnfStyle w:val="000000000000" w:firstRow="0" w:lastRow="0" w:firstColumn="0" w:lastColumn="0" w:oddVBand="0" w:evenVBand="0" w:oddHBand="0" w:evenHBand="0" w:firstRowFirstColumn="0" w:firstRowLastColumn="0" w:lastRowFirstColumn="0" w:lastRowLastColumn="0"/>
            </w:pPr>
            <w:r w:rsidRPr="003D337E">
              <w:t> </w:t>
            </w:r>
          </w:p>
        </w:tc>
      </w:tr>
      <w:tr w:rsidR="003D337E" w:rsidRPr="003D337E" w14:paraId="07E2DE77"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0F8AA866" w14:textId="77777777" w:rsidR="003D337E" w:rsidRPr="003D337E" w:rsidRDefault="003D337E" w:rsidP="00116CC8">
            <w:pPr>
              <w:jc w:val="left"/>
            </w:pPr>
            <w:r w:rsidRPr="003D337E">
              <w:t>NYC-2008</w:t>
            </w:r>
          </w:p>
        </w:tc>
        <w:tc>
          <w:tcPr>
            <w:tcW w:w="1880" w:type="dxa"/>
            <w:noWrap/>
            <w:hideMark/>
          </w:tcPr>
          <w:p w14:paraId="556B14DD"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 </w:t>
            </w:r>
          </w:p>
        </w:tc>
        <w:tc>
          <w:tcPr>
            <w:tcW w:w="1880" w:type="dxa"/>
            <w:noWrap/>
            <w:hideMark/>
          </w:tcPr>
          <w:p w14:paraId="080C4AE4"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 </w:t>
            </w:r>
          </w:p>
        </w:tc>
        <w:tc>
          <w:tcPr>
            <w:tcW w:w="1880" w:type="dxa"/>
            <w:noWrap/>
            <w:hideMark/>
          </w:tcPr>
          <w:p w14:paraId="5AA1AFD1"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44% (50)</w:t>
            </w:r>
          </w:p>
        </w:tc>
      </w:tr>
      <w:tr w:rsidR="003D337E" w:rsidRPr="003D337E" w14:paraId="3C8F0DE2"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257D202C" w14:textId="77777777" w:rsidR="003D337E" w:rsidRPr="003D337E" w:rsidRDefault="003D337E" w:rsidP="00116CC8">
            <w:pPr>
              <w:jc w:val="left"/>
            </w:pPr>
            <w:r w:rsidRPr="003D337E">
              <w:t>NYC-2009</w:t>
            </w:r>
          </w:p>
        </w:tc>
        <w:tc>
          <w:tcPr>
            <w:tcW w:w="1880" w:type="dxa"/>
            <w:noWrap/>
            <w:hideMark/>
          </w:tcPr>
          <w:p w14:paraId="4C480084"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 </w:t>
            </w:r>
          </w:p>
        </w:tc>
        <w:tc>
          <w:tcPr>
            <w:tcW w:w="1880" w:type="dxa"/>
            <w:noWrap/>
            <w:hideMark/>
          </w:tcPr>
          <w:p w14:paraId="01489B34"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 </w:t>
            </w:r>
          </w:p>
        </w:tc>
        <w:tc>
          <w:tcPr>
            <w:tcW w:w="1880" w:type="dxa"/>
            <w:noWrap/>
            <w:hideMark/>
          </w:tcPr>
          <w:p w14:paraId="5976C5CC"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45% (51)</w:t>
            </w:r>
          </w:p>
        </w:tc>
      </w:tr>
      <w:tr w:rsidR="003D337E" w:rsidRPr="003D337E" w14:paraId="70105E6E"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5714762F" w14:textId="77777777" w:rsidR="003D337E" w:rsidRPr="003D337E" w:rsidRDefault="003D337E" w:rsidP="00116CC8">
            <w:pPr>
              <w:jc w:val="left"/>
            </w:pPr>
            <w:r w:rsidRPr="003D337E">
              <w:t>NYC-2010</w:t>
            </w:r>
          </w:p>
        </w:tc>
        <w:tc>
          <w:tcPr>
            <w:tcW w:w="1880" w:type="dxa"/>
            <w:noWrap/>
            <w:hideMark/>
          </w:tcPr>
          <w:p w14:paraId="4706D62B"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23% (54)</w:t>
            </w:r>
          </w:p>
        </w:tc>
        <w:tc>
          <w:tcPr>
            <w:tcW w:w="1880" w:type="dxa"/>
            <w:noWrap/>
            <w:hideMark/>
          </w:tcPr>
          <w:p w14:paraId="6C531B71"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38% (52)</w:t>
            </w:r>
          </w:p>
        </w:tc>
        <w:tc>
          <w:tcPr>
            <w:tcW w:w="1880" w:type="dxa"/>
            <w:noWrap/>
            <w:hideMark/>
          </w:tcPr>
          <w:p w14:paraId="4B50A680" w14:textId="77777777" w:rsidR="003D337E" w:rsidRPr="003D337E" w:rsidRDefault="003D337E">
            <w:pPr>
              <w:cnfStyle w:val="000000100000" w:firstRow="0" w:lastRow="0" w:firstColumn="0" w:lastColumn="0" w:oddVBand="0" w:evenVBand="0" w:oddHBand="1" w:evenHBand="0" w:firstRowFirstColumn="0" w:firstRowLastColumn="0" w:lastRowFirstColumn="0" w:lastRowLastColumn="0"/>
            </w:pPr>
            <w:r w:rsidRPr="003D337E">
              <w:t> </w:t>
            </w:r>
          </w:p>
        </w:tc>
      </w:tr>
      <w:tr w:rsidR="003D337E" w:rsidRPr="003D337E" w14:paraId="73C2A1EC"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3F038B4F" w14:textId="77777777" w:rsidR="003D337E" w:rsidRPr="003D337E" w:rsidRDefault="003D337E" w:rsidP="00116CC8">
            <w:pPr>
              <w:jc w:val="left"/>
            </w:pPr>
            <w:r w:rsidRPr="003D337E">
              <w:t>NYC-2011</w:t>
            </w:r>
          </w:p>
        </w:tc>
        <w:tc>
          <w:tcPr>
            <w:tcW w:w="1880" w:type="dxa"/>
            <w:noWrap/>
            <w:hideMark/>
          </w:tcPr>
          <w:p w14:paraId="06043E87"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23% (53)</w:t>
            </w:r>
          </w:p>
        </w:tc>
        <w:tc>
          <w:tcPr>
            <w:tcW w:w="1880" w:type="dxa"/>
            <w:noWrap/>
            <w:hideMark/>
          </w:tcPr>
          <w:p w14:paraId="6BDF78F0"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 </w:t>
            </w:r>
          </w:p>
        </w:tc>
        <w:tc>
          <w:tcPr>
            <w:tcW w:w="1880" w:type="dxa"/>
            <w:noWrap/>
            <w:hideMark/>
          </w:tcPr>
          <w:p w14:paraId="772F7C5B" w14:textId="77777777" w:rsidR="003D337E" w:rsidRPr="003D337E" w:rsidRDefault="003D337E">
            <w:pPr>
              <w:cnfStyle w:val="000000000000" w:firstRow="0" w:lastRow="0" w:firstColumn="0" w:lastColumn="0" w:oddVBand="0" w:evenVBand="0" w:oddHBand="0" w:evenHBand="0" w:firstRowFirstColumn="0" w:firstRowLastColumn="0" w:lastRowFirstColumn="0" w:lastRowLastColumn="0"/>
            </w:pPr>
            <w:r w:rsidRPr="003D337E">
              <w:t> </w:t>
            </w:r>
          </w:p>
        </w:tc>
      </w:tr>
      <w:tr w:rsidR="003D337E" w:rsidRPr="003D337E" w14:paraId="56AA0C55" w14:textId="77777777" w:rsidTr="00116CC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0CCAC61C" w14:textId="77777777" w:rsidR="003D337E" w:rsidRPr="003D337E" w:rsidRDefault="003D337E" w:rsidP="00116CC8">
            <w:pPr>
              <w:jc w:val="left"/>
            </w:pPr>
            <w:r w:rsidRPr="003D337E">
              <w:t>Ohio-2013-14</w:t>
            </w:r>
          </w:p>
        </w:tc>
        <w:tc>
          <w:tcPr>
            <w:tcW w:w="1880" w:type="dxa"/>
            <w:noWrap/>
            <w:hideMark/>
          </w:tcPr>
          <w:p w14:paraId="5A1EDEE3"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27% (86)</w:t>
            </w:r>
          </w:p>
        </w:tc>
        <w:tc>
          <w:tcPr>
            <w:tcW w:w="1880" w:type="dxa"/>
            <w:noWrap/>
            <w:hideMark/>
          </w:tcPr>
          <w:p w14:paraId="6D598593"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31% (84)</w:t>
            </w:r>
          </w:p>
        </w:tc>
        <w:tc>
          <w:tcPr>
            <w:tcW w:w="1880" w:type="dxa"/>
            <w:noWrap/>
            <w:hideMark/>
          </w:tcPr>
          <w:p w14:paraId="1E6653D0"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pPr>
            <w:r w:rsidRPr="003D337E">
              <w:t>30% (78)</w:t>
            </w:r>
          </w:p>
        </w:tc>
      </w:tr>
      <w:tr w:rsidR="003D337E" w:rsidRPr="003D337E" w14:paraId="5B8CD867" w14:textId="77777777" w:rsidTr="00116CC8">
        <w:trPr>
          <w:trHeight w:val="300"/>
        </w:trPr>
        <w:tc>
          <w:tcPr>
            <w:cnfStyle w:val="001000000000" w:firstRow="0" w:lastRow="0" w:firstColumn="1" w:lastColumn="0" w:oddVBand="0" w:evenVBand="0" w:oddHBand="0" w:evenHBand="0" w:firstRowFirstColumn="0" w:firstRowLastColumn="0" w:lastRowFirstColumn="0" w:lastRowLastColumn="0"/>
            <w:tcW w:w="3160" w:type="dxa"/>
            <w:hideMark/>
          </w:tcPr>
          <w:p w14:paraId="54A7F471" w14:textId="77777777" w:rsidR="003D337E" w:rsidRPr="003D337E" w:rsidRDefault="003D337E" w:rsidP="00116CC8">
            <w:pPr>
              <w:jc w:val="left"/>
            </w:pPr>
            <w:r w:rsidRPr="003D337E">
              <w:t>Ohio-2014-15</w:t>
            </w:r>
          </w:p>
        </w:tc>
        <w:tc>
          <w:tcPr>
            <w:tcW w:w="1880" w:type="dxa"/>
            <w:noWrap/>
            <w:hideMark/>
          </w:tcPr>
          <w:p w14:paraId="4A596B8A"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25% (90)</w:t>
            </w:r>
          </w:p>
        </w:tc>
        <w:tc>
          <w:tcPr>
            <w:tcW w:w="1880" w:type="dxa"/>
            <w:noWrap/>
            <w:hideMark/>
          </w:tcPr>
          <w:p w14:paraId="637F7AD3"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32% (90)</w:t>
            </w:r>
          </w:p>
        </w:tc>
        <w:tc>
          <w:tcPr>
            <w:tcW w:w="1880" w:type="dxa"/>
            <w:noWrap/>
            <w:hideMark/>
          </w:tcPr>
          <w:p w14:paraId="2C97EDDC" w14:textId="77777777" w:rsidR="003D337E" w:rsidRPr="003D337E" w:rsidRDefault="003D337E" w:rsidP="003D337E">
            <w:pPr>
              <w:cnfStyle w:val="000000000000" w:firstRow="0" w:lastRow="0" w:firstColumn="0" w:lastColumn="0" w:oddVBand="0" w:evenVBand="0" w:oddHBand="0" w:evenHBand="0" w:firstRowFirstColumn="0" w:firstRowLastColumn="0" w:lastRowFirstColumn="0" w:lastRowLastColumn="0"/>
            </w:pPr>
            <w:r w:rsidRPr="003D337E">
              <w:t>33% (85)</w:t>
            </w:r>
          </w:p>
        </w:tc>
      </w:tr>
      <w:tr w:rsidR="003D337E" w:rsidRPr="003D337E" w14:paraId="64E47774" w14:textId="77777777" w:rsidTr="00116CC8">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160" w:type="dxa"/>
            <w:hideMark/>
          </w:tcPr>
          <w:p w14:paraId="4556CC32" w14:textId="77777777" w:rsidR="003D337E" w:rsidRPr="003D337E" w:rsidRDefault="003D337E" w:rsidP="00116CC8">
            <w:pPr>
              <w:rPr>
                <w:b/>
                <w:bCs/>
              </w:rPr>
            </w:pPr>
            <w:r w:rsidRPr="003D337E">
              <w:rPr>
                <w:b/>
                <w:bCs/>
              </w:rPr>
              <w:t>Weighted Average</w:t>
            </w:r>
          </w:p>
        </w:tc>
        <w:tc>
          <w:tcPr>
            <w:tcW w:w="1880" w:type="dxa"/>
            <w:noWrap/>
            <w:hideMark/>
          </w:tcPr>
          <w:p w14:paraId="2DE47FC5"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30% (612)</w:t>
            </w:r>
          </w:p>
        </w:tc>
        <w:tc>
          <w:tcPr>
            <w:tcW w:w="1880" w:type="dxa"/>
            <w:noWrap/>
            <w:hideMark/>
          </w:tcPr>
          <w:p w14:paraId="320667BB"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38% (535)</w:t>
            </w:r>
          </w:p>
        </w:tc>
        <w:tc>
          <w:tcPr>
            <w:tcW w:w="1880" w:type="dxa"/>
            <w:noWrap/>
            <w:hideMark/>
          </w:tcPr>
          <w:p w14:paraId="3AC64F7E" w14:textId="77777777" w:rsidR="003D337E" w:rsidRPr="003D337E" w:rsidRDefault="003D337E" w:rsidP="003D337E">
            <w:pPr>
              <w:cnfStyle w:val="000000100000" w:firstRow="0" w:lastRow="0" w:firstColumn="0" w:lastColumn="0" w:oddVBand="0" w:evenVBand="0" w:oddHBand="1" w:evenHBand="0" w:firstRowFirstColumn="0" w:firstRowLastColumn="0" w:lastRowFirstColumn="0" w:lastRowLastColumn="0"/>
              <w:rPr>
                <w:b/>
                <w:bCs/>
              </w:rPr>
            </w:pPr>
            <w:r w:rsidRPr="003D337E">
              <w:rPr>
                <w:b/>
                <w:bCs/>
              </w:rPr>
              <w:t>37% (264)</w:t>
            </w:r>
          </w:p>
        </w:tc>
      </w:tr>
    </w:tbl>
    <w:p w14:paraId="2BC77F73" w14:textId="77777777" w:rsidR="003D337E" w:rsidRPr="003D337E" w:rsidRDefault="00A900A7" w:rsidP="003D337E">
      <w:r>
        <w:t>Source: Data were obtained from department of education websites, via downloadable data files, and analyzed by Momentum Strategy &amp; Research.</w:t>
      </w:r>
    </w:p>
    <w:sectPr w:rsidR="003D337E" w:rsidRPr="003D337E" w:rsidSect="00023E0E">
      <w:footerReference w:type="default" r:id="rId11"/>
      <w:pgSz w:w="12240" w:h="15840"/>
      <w:pgMar w:top="1500" w:right="1320" w:bottom="920" w:left="1340" w:header="0" w:footer="7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1EA39" w14:textId="77777777" w:rsidR="000F0B97" w:rsidRDefault="000F0B97">
      <w:pPr>
        <w:spacing w:before="0" w:after="0" w:line="240" w:lineRule="auto"/>
      </w:pPr>
      <w:r>
        <w:separator/>
      </w:r>
    </w:p>
  </w:endnote>
  <w:endnote w:type="continuationSeparator" w:id="0">
    <w:p w14:paraId="1A19ED37" w14:textId="77777777" w:rsidR="000F0B97" w:rsidRDefault="000F0B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906702"/>
      <w:docPartObj>
        <w:docPartGallery w:val="Page Numbers (Bottom of Page)"/>
        <w:docPartUnique/>
      </w:docPartObj>
    </w:sdtPr>
    <w:sdtEndPr>
      <w:rPr>
        <w:color w:val="7F7F7F" w:themeColor="background1" w:themeShade="7F"/>
        <w:spacing w:val="60"/>
      </w:rPr>
    </w:sdtEndPr>
    <w:sdtContent>
      <w:p w14:paraId="1783817E" w14:textId="77777777" w:rsidR="003F0FFF" w:rsidRDefault="003F0FFF">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03E0">
          <w:rPr>
            <w:noProof/>
          </w:rPr>
          <w:t>2</w:t>
        </w:r>
        <w:r>
          <w:rPr>
            <w:noProof/>
          </w:rPr>
          <w:fldChar w:fldCharType="end"/>
        </w:r>
        <w:r>
          <w:t xml:space="preserve"> | </w:t>
        </w:r>
        <w:r>
          <w:rPr>
            <w:color w:val="7F7F7F" w:themeColor="background1" w:themeShade="7F"/>
            <w:spacing w:val="60"/>
          </w:rPr>
          <w:t>Page</w:t>
        </w:r>
      </w:p>
    </w:sdtContent>
  </w:sdt>
  <w:p w14:paraId="2B0B8728" w14:textId="77777777" w:rsidR="003F0FFF" w:rsidRDefault="003F0FFF">
    <w:pPr>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917392"/>
      <w:docPartObj>
        <w:docPartGallery w:val="Page Numbers (Bottom of Page)"/>
        <w:docPartUnique/>
      </w:docPartObj>
    </w:sdtPr>
    <w:sdtEndPr>
      <w:rPr>
        <w:noProof/>
      </w:rPr>
    </w:sdtEndPr>
    <w:sdtContent>
      <w:p w14:paraId="75761B04" w14:textId="77777777" w:rsidR="003F0FFF" w:rsidRDefault="003F0FFF">
        <w:pPr>
          <w:pStyle w:val="Footer"/>
          <w:jc w:val="center"/>
        </w:pPr>
        <w:r>
          <w:fldChar w:fldCharType="begin"/>
        </w:r>
        <w:r>
          <w:instrText xml:space="preserve"> PAGE   \* MERGEFORMAT </w:instrText>
        </w:r>
        <w:r>
          <w:fldChar w:fldCharType="separate"/>
        </w:r>
        <w:r w:rsidR="00F803E0">
          <w:rPr>
            <w:noProof/>
          </w:rPr>
          <w:t>23</w:t>
        </w:r>
        <w:r>
          <w:rPr>
            <w:noProof/>
          </w:rPr>
          <w:fldChar w:fldCharType="end"/>
        </w:r>
      </w:p>
    </w:sdtContent>
  </w:sdt>
  <w:p w14:paraId="4EF75553" w14:textId="77777777" w:rsidR="003F0FFF" w:rsidRDefault="003F0FFF">
    <w:pP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5E76F" w14:textId="77777777" w:rsidR="000F0B97" w:rsidRDefault="000F0B97">
      <w:pPr>
        <w:spacing w:before="0" w:after="0" w:line="240" w:lineRule="auto"/>
      </w:pPr>
      <w:r>
        <w:separator/>
      </w:r>
    </w:p>
  </w:footnote>
  <w:footnote w:type="continuationSeparator" w:id="0">
    <w:p w14:paraId="72A3CB4A" w14:textId="77777777" w:rsidR="000F0B97" w:rsidRDefault="000F0B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512836"/>
      <w:docPartObj>
        <w:docPartGallery w:val="Watermarks"/>
        <w:docPartUnique/>
      </w:docPartObj>
    </w:sdtPr>
    <w:sdtEndPr/>
    <w:sdtContent>
      <w:p w14:paraId="451A60EA" w14:textId="77777777" w:rsidR="003F0FFF" w:rsidRDefault="00F803E0">
        <w:pPr>
          <w:pStyle w:val="Header"/>
        </w:pPr>
        <w:r>
          <w:rPr>
            <w:noProof/>
          </w:rPr>
          <w:pict w14:anchorId="689B1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6366"/>
    <w:multiLevelType w:val="hybridMultilevel"/>
    <w:tmpl w:val="36DE4D5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nsid w:val="0D1C168B"/>
    <w:multiLevelType w:val="hybridMultilevel"/>
    <w:tmpl w:val="31A029F0"/>
    <w:lvl w:ilvl="0" w:tplc="4A84FB0A">
      <w:start w:val="1"/>
      <w:numFmt w:val="lowerLetter"/>
      <w:lvlText w:val="%1)"/>
      <w:lvlJc w:val="left"/>
      <w:pPr>
        <w:ind w:left="459" w:hanging="360"/>
      </w:pPr>
      <w:rPr>
        <w:rFonts w:ascii="Calibri" w:eastAsia="Calibri" w:hAnsi="Calibri" w:hint="default"/>
        <w:b/>
        <w:bCs/>
        <w:spacing w:val="-2"/>
        <w:w w:val="100"/>
        <w:sz w:val="22"/>
        <w:szCs w:val="22"/>
      </w:rPr>
    </w:lvl>
    <w:lvl w:ilvl="1" w:tplc="32CAEA12">
      <w:start w:val="1"/>
      <w:numFmt w:val="bullet"/>
      <w:lvlText w:val=""/>
      <w:lvlJc w:val="left"/>
      <w:pPr>
        <w:ind w:left="1179" w:hanging="361"/>
      </w:pPr>
      <w:rPr>
        <w:rFonts w:ascii="Symbol" w:eastAsia="Symbol" w:hAnsi="Symbol" w:hint="default"/>
        <w:w w:val="100"/>
        <w:sz w:val="22"/>
        <w:szCs w:val="22"/>
      </w:rPr>
    </w:lvl>
    <w:lvl w:ilvl="2" w:tplc="561E3A84">
      <w:start w:val="1"/>
      <w:numFmt w:val="bullet"/>
      <w:lvlText w:val="•"/>
      <w:lvlJc w:val="left"/>
      <w:pPr>
        <w:ind w:left="1240" w:hanging="361"/>
      </w:pPr>
      <w:rPr>
        <w:rFonts w:hint="default"/>
      </w:rPr>
    </w:lvl>
    <w:lvl w:ilvl="3" w:tplc="2BCA2BF6">
      <w:start w:val="1"/>
      <w:numFmt w:val="bullet"/>
      <w:lvlText w:val="•"/>
      <w:lvlJc w:val="left"/>
      <w:pPr>
        <w:ind w:left="2282" w:hanging="361"/>
      </w:pPr>
      <w:rPr>
        <w:rFonts w:hint="default"/>
      </w:rPr>
    </w:lvl>
    <w:lvl w:ilvl="4" w:tplc="DD86FAC8">
      <w:start w:val="1"/>
      <w:numFmt w:val="bullet"/>
      <w:lvlText w:val="•"/>
      <w:lvlJc w:val="left"/>
      <w:pPr>
        <w:ind w:left="3325" w:hanging="361"/>
      </w:pPr>
      <w:rPr>
        <w:rFonts w:hint="default"/>
      </w:rPr>
    </w:lvl>
    <w:lvl w:ilvl="5" w:tplc="83FCC1A8">
      <w:start w:val="1"/>
      <w:numFmt w:val="bullet"/>
      <w:lvlText w:val="•"/>
      <w:lvlJc w:val="left"/>
      <w:pPr>
        <w:ind w:left="4367" w:hanging="361"/>
      </w:pPr>
      <w:rPr>
        <w:rFonts w:hint="default"/>
      </w:rPr>
    </w:lvl>
    <w:lvl w:ilvl="6" w:tplc="CA56DD26">
      <w:start w:val="1"/>
      <w:numFmt w:val="bullet"/>
      <w:lvlText w:val="•"/>
      <w:lvlJc w:val="left"/>
      <w:pPr>
        <w:ind w:left="5410" w:hanging="361"/>
      </w:pPr>
      <w:rPr>
        <w:rFonts w:hint="default"/>
      </w:rPr>
    </w:lvl>
    <w:lvl w:ilvl="7" w:tplc="803C1AEC">
      <w:start w:val="1"/>
      <w:numFmt w:val="bullet"/>
      <w:lvlText w:val="•"/>
      <w:lvlJc w:val="left"/>
      <w:pPr>
        <w:ind w:left="6452" w:hanging="361"/>
      </w:pPr>
      <w:rPr>
        <w:rFonts w:hint="default"/>
      </w:rPr>
    </w:lvl>
    <w:lvl w:ilvl="8" w:tplc="259630D0">
      <w:start w:val="1"/>
      <w:numFmt w:val="bullet"/>
      <w:lvlText w:val="•"/>
      <w:lvlJc w:val="left"/>
      <w:pPr>
        <w:ind w:left="7495" w:hanging="361"/>
      </w:pPr>
      <w:rPr>
        <w:rFonts w:hint="default"/>
      </w:rPr>
    </w:lvl>
  </w:abstractNum>
  <w:abstractNum w:abstractNumId="2">
    <w:nsid w:val="10D31E40"/>
    <w:multiLevelType w:val="hybridMultilevel"/>
    <w:tmpl w:val="82940052"/>
    <w:lvl w:ilvl="0" w:tplc="9EE65A68">
      <w:start w:val="1"/>
      <w:numFmt w:val="bullet"/>
      <w:lvlText w:val=""/>
      <w:lvlJc w:val="left"/>
      <w:pPr>
        <w:ind w:left="840" w:hanging="361"/>
      </w:pPr>
      <w:rPr>
        <w:rFonts w:ascii="Symbol" w:eastAsia="Symbol" w:hAnsi="Symbol" w:hint="default"/>
        <w:w w:val="100"/>
        <w:sz w:val="22"/>
        <w:szCs w:val="22"/>
      </w:rPr>
    </w:lvl>
    <w:lvl w:ilvl="1" w:tplc="D7B286B4">
      <w:start w:val="1"/>
      <w:numFmt w:val="bullet"/>
      <w:lvlText w:val=""/>
      <w:lvlJc w:val="left"/>
      <w:pPr>
        <w:ind w:left="1199" w:hanging="361"/>
      </w:pPr>
      <w:rPr>
        <w:rFonts w:ascii="Symbol" w:eastAsia="Symbol" w:hAnsi="Symbol" w:hint="default"/>
        <w:w w:val="100"/>
        <w:sz w:val="22"/>
        <w:szCs w:val="22"/>
      </w:rPr>
    </w:lvl>
    <w:lvl w:ilvl="2" w:tplc="1FDEDA72">
      <w:start w:val="1"/>
      <w:numFmt w:val="bullet"/>
      <w:lvlText w:val="•"/>
      <w:lvlJc w:val="left"/>
      <w:pPr>
        <w:ind w:left="2131" w:hanging="361"/>
      </w:pPr>
      <w:rPr>
        <w:rFonts w:hint="default"/>
      </w:rPr>
    </w:lvl>
    <w:lvl w:ilvl="3" w:tplc="C368F618">
      <w:start w:val="1"/>
      <w:numFmt w:val="bullet"/>
      <w:lvlText w:val="•"/>
      <w:lvlJc w:val="left"/>
      <w:pPr>
        <w:ind w:left="3062" w:hanging="361"/>
      </w:pPr>
      <w:rPr>
        <w:rFonts w:hint="default"/>
      </w:rPr>
    </w:lvl>
    <w:lvl w:ilvl="4" w:tplc="B2144240">
      <w:start w:val="1"/>
      <w:numFmt w:val="bullet"/>
      <w:lvlText w:val="•"/>
      <w:lvlJc w:val="left"/>
      <w:pPr>
        <w:ind w:left="3993" w:hanging="361"/>
      </w:pPr>
      <w:rPr>
        <w:rFonts w:hint="default"/>
      </w:rPr>
    </w:lvl>
    <w:lvl w:ilvl="5" w:tplc="11184AEE">
      <w:start w:val="1"/>
      <w:numFmt w:val="bullet"/>
      <w:lvlText w:val="•"/>
      <w:lvlJc w:val="left"/>
      <w:pPr>
        <w:ind w:left="4924" w:hanging="361"/>
      </w:pPr>
      <w:rPr>
        <w:rFonts w:hint="default"/>
      </w:rPr>
    </w:lvl>
    <w:lvl w:ilvl="6" w:tplc="FF0AD176">
      <w:start w:val="1"/>
      <w:numFmt w:val="bullet"/>
      <w:lvlText w:val="•"/>
      <w:lvlJc w:val="left"/>
      <w:pPr>
        <w:ind w:left="5855" w:hanging="361"/>
      </w:pPr>
      <w:rPr>
        <w:rFonts w:hint="default"/>
      </w:rPr>
    </w:lvl>
    <w:lvl w:ilvl="7" w:tplc="38F0D152">
      <w:start w:val="1"/>
      <w:numFmt w:val="bullet"/>
      <w:lvlText w:val="•"/>
      <w:lvlJc w:val="left"/>
      <w:pPr>
        <w:ind w:left="6786" w:hanging="361"/>
      </w:pPr>
      <w:rPr>
        <w:rFonts w:hint="default"/>
      </w:rPr>
    </w:lvl>
    <w:lvl w:ilvl="8" w:tplc="CF662F9E">
      <w:start w:val="1"/>
      <w:numFmt w:val="bullet"/>
      <w:lvlText w:val="•"/>
      <w:lvlJc w:val="left"/>
      <w:pPr>
        <w:ind w:left="7717" w:hanging="361"/>
      </w:pPr>
      <w:rPr>
        <w:rFonts w:hint="default"/>
      </w:rPr>
    </w:lvl>
  </w:abstractNum>
  <w:abstractNum w:abstractNumId="3">
    <w:nsid w:val="14C503A0"/>
    <w:multiLevelType w:val="hybridMultilevel"/>
    <w:tmpl w:val="8DB4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E4647C"/>
    <w:multiLevelType w:val="hybridMultilevel"/>
    <w:tmpl w:val="8708D6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1C7113B"/>
    <w:multiLevelType w:val="hybridMultilevel"/>
    <w:tmpl w:val="841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A1411"/>
    <w:multiLevelType w:val="hybridMultilevel"/>
    <w:tmpl w:val="1AE4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F7C81"/>
    <w:multiLevelType w:val="hybridMultilevel"/>
    <w:tmpl w:val="F14E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EA7EC4"/>
    <w:multiLevelType w:val="hybridMultilevel"/>
    <w:tmpl w:val="03E0143A"/>
    <w:lvl w:ilvl="0" w:tplc="7B2A6740">
      <w:start w:val="4"/>
      <w:numFmt w:val="decimal"/>
      <w:lvlText w:val="%1-"/>
      <w:lvlJc w:val="left"/>
      <w:pPr>
        <w:ind w:left="497" w:hanging="180"/>
      </w:pPr>
      <w:rPr>
        <w:rFonts w:ascii="Calibri" w:eastAsia="Calibri" w:hAnsi="Calibri" w:hint="default"/>
        <w:w w:val="100"/>
        <w:sz w:val="22"/>
        <w:szCs w:val="22"/>
      </w:rPr>
    </w:lvl>
    <w:lvl w:ilvl="1" w:tplc="A1F83622">
      <w:start w:val="1"/>
      <w:numFmt w:val="bullet"/>
      <w:lvlText w:val=""/>
      <w:lvlJc w:val="left"/>
      <w:pPr>
        <w:ind w:left="1217" w:hanging="361"/>
      </w:pPr>
      <w:rPr>
        <w:rFonts w:ascii="Symbol" w:eastAsia="Symbol" w:hAnsi="Symbol" w:hint="default"/>
        <w:w w:val="100"/>
        <w:sz w:val="22"/>
        <w:szCs w:val="22"/>
      </w:rPr>
    </w:lvl>
    <w:lvl w:ilvl="2" w:tplc="1CE6E67E">
      <w:start w:val="1"/>
      <w:numFmt w:val="bullet"/>
      <w:lvlText w:val="•"/>
      <w:lvlJc w:val="left"/>
      <w:pPr>
        <w:ind w:left="2153" w:hanging="361"/>
      </w:pPr>
      <w:rPr>
        <w:rFonts w:hint="default"/>
      </w:rPr>
    </w:lvl>
    <w:lvl w:ilvl="3" w:tplc="ECFE683A">
      <w:start w:val="1"/>
      <w:numFmt w:val="bullet"/>
      <w:lvlText w:val="•"/>
      <w:lvlJc w:val="left"/>
      <w:pPr>
        <w:ind w:left="3086" w:hanging="361"/>
      </w:pPr>
      <w:rPr>
        <w:rFonts w:hint="default"/>
      </w:rPr>
    </w:lvl>
    <w:lvl w:ilvl="4" w:tplc="EF588EE2">
      <w:start w:val="1"/>
      <w:numFmt w:val="bullet"/>
      <w:lvlText w:val="•"/>
      <w:lvlJc w:val="left"/>
      <w:pPr>
        <w:ind w:left="4020" w:hanging="361"/>
      </w:pPr>
      <w:rPr>
        <w:rFonts w:hint="default"/>
      </w:rPr>
    </w:lvl>
    <w:lvl w:ilvl="5" w:tplc="D8C21594">
      <w:start w:val="1"/>
      <w:numFmt w:val="bullet"/>
      <w:lvlText w:val="•"/>
      <w:lvlJc w:val="left"/>
      <w:pPr>
        <w:ind w:left="4953" w:hanging="361"/>
      </w:pPr>
      <w:rPr>
        <w:rFonts w:hint="default"/>
      </w:rPr>
    </w:lvl>
    <w:lvl w:ilvl="6" w:tplc="2AD0CE4C">
      <w:start w:val="1"/>
      <w:numFmt w:val="bullet"/>
      <w:lvlText w:val="•"/>
      <w:lvlJc w:val="left"/>
      <w:pPr>
        <w:ind w:left="5886" w:hanging="361"/>
      </w:pPr>
      <w:rPr>
        <w:rFonts w:hint="default"/>
      </w:rPr>
    </w:lvl>
    <w:lvl w:ilvl="7" w:tplc="BC00E328">
      <w:start w:val="1"/>
      <w:numFmt w:val="bullet"/>
      <w:lvlText w:val="•"/>
      <w:lvlJc w:val="left"/>
      <w:pPr>
        <w:ind w:left="6820" w:hanging="361"/>
      </w:pPr>
      <w:rPr>
        <w:rFonts w:hint="default"/>
      </w:rPr>
    </w:lvl>
    <w:lvl w:ilvl="8" w:tplc="12127DA8">
      <w:start w:val="1"/>
      <w:numFmt w:val="bullet"/>
      <w:lvlText w:val="•"/>
      <w:lvlJc w:val="left"/>
      <w:pPr>
        <w:ind w:left="7753" w:hanging="361"/>
      </w:pPr>
      <w:rPr>
        <w:rFonts w:hint="default"/>
      </w:rPr>
    </w:lvl>
  </w:abstractNum>
  <w:abstractNum w:abstractNumId="9">
    <w:nsid w:val="31193735"/>
    <w:multiLevelType w:val="hybridMultilevel"/>
    <w:tmpl w:val="5936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528FF"/>
    <w:multiLevelType w:val="hybridMultilevel"/>
    <w:tmpl w:val="D764A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1A0130"/>
    <w:multiLevelType w:val="hybridMultilevel"/>
    <w:tmpl w:val="7C94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E3EED"/>
    <w:multiLevelType w:val="hybridMultilevel"/>
    <w:tmpl w:val="B71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F53648"/>
    <w:multiLevelType w:val="hybridMultilevel"/>
    <w:tmpl w:val="2B7A3046"/>
    <w:lvl w:ilvl="0" w:tplc="457037F0">
      <w:start w:val="1"/>
      <w:numFmt w:val="bullet"/>
      <w:lvlText w:val=""/>
      <w:lvlJc w:val="left"/>
      <w:pPr>
        <w:ind w:left="840" w:hanging="361"/>
      </w:pPr>
      <w:rPr>
        <w:rFonts w:ascii="Symbol" w:eastAsia="Symbol" w:hAnsi="Symbol" w:hint="default"/>
        <w:w w:val="100"/>
        <w:sz w:val="22"/>
        <w:szCs w:val="22"/>
      </w:rPr>
    </w:lvl>
    <w:lvl w:ilvl="1" w:tplc="7626239A">
      <w:start w:val="1"/>
      <w:numFmt w:val="bullet"/>
      <w:lvlText w:val="•"/>
      <w:lvlJc w:val="left"/>
      <w:pPr>
        <w:ind w:left="1716" w:hanging="361"/>
      </w:pPr>
      <w:rPr>
        <w:rFonts w:hint="default"/>
      </w:rPr>
    </w:lvl>
    <w:lvl w:ilvl="2" w:tplc="56429810">
      <w:start w:val="1"/>
      <w:numFmt w:val="bullet"/>
      <w:lvlText w:val="•"/>
      <w:lvlJc w:val="left"/>
      <w:pPr>
        <w:ind w:left="2592" w:hanging="361"/>
      </w:pPr>
      <w:rPr>
        <w:rFonts w:hint="default"/>
      </w:rPr>
    </w:lvl>
    <w:lvl w:ilvl="3" w:tplc="3CD2CEDE">
      <w:start w:val="1"/>
      <w:numFmt w:val="bullet"/>
      <w:lvlText w:val="•"/>
      <w:lvlJc w:val="left"/>
      <w:pPr>
        <w:ind w:left="3468" w:hanging="361"/>
      </w:pPr>
      <w:rPr>
        <w:rFonts w:hint="default"/>
      </w:rPr>
    </w:lvl>
    <w:lvl w:ilvl="4" w:tplc="BDDC47DE">
      <w:start w:val="1"/>
      <w:numFmt w:val="bullet"/>
      <w:lvlText w:val="•"/>
      <w:lvlJc w:val="left"/>
      <w:pPr>
        <w:ind w:left="4344" w:hanging="361"/>
      </w:pPr>
      <w:rPr>
        <w:rFonts w:hint="default"/>
      </w:rPr>
    </w:lvl>
    <w:lvl w:ilvl="5" w:tplc="8E887654">
      <w:start w:val="1"/>
      <w:numFmt w:val="bullet"/>
      <w:lvlText w:val="•"/>
      <w:lvlJc w:val="left"/>
      <w:pPr>
        <w:ind w:left="5220" w:hanging="361"/>
      </w:pPr>
      <w:rPr>
        <w:rFonts w:hint="default"/>
      </w:rPr>
    </w:lvl>
    <w:lvl w:ilvl="6" w:tplc="CF3AA340">
      <w:start w:val="1"/>
      <w:numFmt w:val="bullet"/>
      <w:lvlText w:val="•"/>
      <w:lvlJc w:val="left"/>
      <w:pPr>
        <w:ind w:left="6096" w:hanging="361"/>
      </w:pPr>
      <w:rPr>
        <w:rFonts w:hint="default"/>
      </w:rPr>
    </w:lvl>
    <w:lvl w:ilvl="7" w:tplc="5BD0C3A0">
      <w:start w:val="1"/>
      <w:numFmt w:val="bullet"/>
      <w:lvlText w:val="•"/>
      <w:lvlJc w:val="left"/>
      <w:pPr>
        <w:ind w:left="6972" w:hanging="361"/>
      </w:pPr>
      <w:rPr>
        <w:rFonts w:hint="default"/>
      </w:rPr>
    </w:lvl>
    <w:lvl w:ilvl="8" w:tplc="82463A4A">
      <w:start w:val="1"/>
      <w:numFmt w:val="bullet"/>
      <w:lvlText w:val="•"/>
      <w:lvlJc w:val="left"/>
      <w:pPr>
        <w:ind w:left="7848" w:hanging="361"/>
      </w:pPr>
      <w:rPr>
        <w:rFonts w:hint="default"/>
      </w:rPr>
    </w:lvl>
  </w:abstractNum>
  <w:abstractNum w:abstractNumId="14">
    <w:nsid w:val="3D71539B"/>
    <w:multiLevelType w:val="hybridMultilevel"/>
    <w:tmpl w:val="2E7A82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40571D29"/>
    <w:multiLevelType w:val="hybridMultilevel"/>
    <w:tmpl w:val="A48AABB6"/>
    <w:lvl w:ilvl="0" w:tplc="F1D2C7E4">
      <w:start w:val="1"/>
      <w:numFmt w:val="bullet"/>
      <w:lvlText w:val="o"/>
      <w:lvlJc w:val="left"/>
      <w:pPr>
        <w:ind w:left="1200" w:hanging="361"/>
      </w:pPr>
      <w:rPr>
        <w:rFonts w:ascii="Courier New" w:eastAsia="Courier New" w:hAnsi="Courier New" w:hint="default"/>
        <w:w w:val="100"/>
        <w:sz w:val="22"/>
        <w:szCs w:val="22"/>
      </w:rPr>
    </w:lvl>
    <w:lvl w:ilvl="1" w:tplc="059EF18A">
      <w:start w:val="1"/>
      <w:numFmt w:val="bullet"/>
      <w:lvlText w:val="•"/>
      <w:lvlJc w:val="left"/>
      <w:pPr>
        <w:ind w:left="2040" w:hanging="361"/>
      </w:pPr>
      <w:rPr>
        <w:rFonts w:hint="default"/>
      </w:rPr>
    </w:lvl>
    <w:lvl w:ilvl="2" w:tplc="FC58845E">
      <w:start w:val="1"/>
      <w:numFmt w:val="bullet"/>
      <w:lvlText w:val="•"/>
      <w:lvlJc w:val="left"/>
      <w:pPr>
        <w:ind w:left="2880" w:hanging="361"/>
      </w:pPr>
      <w:rPr>
        <w:rFonts w:hint="default"/>
      </w:rPr>
    </w:lvl>
    <w:lvl w:ilvl="3" w:tplc="93CC6864">
      <w:start w:val="1"/>
      <w:numFmt w:val="bullet"/>
      <w:lvlText w:val="•"/>
      <w:lvlJc w:val="left"/>
      <w:pPr>
        <w:ind w:left="3720" w:hanging="361"/>
      </w:pPr>
      <w:rPr>
        <w:rFonts w:hint="default"/>
      </w:rPr>
    </w:lvl>
    <w:lvl w:ilvl="4" w:tplc="49A6B9C8">
      <w:start w:val="1"/>
      <w:numFmt w:val="bullet"/>
      <w:lvlText w:val="•"/>
      <w:lvlJc w:val="left"/>
      <w:pPr>
        <w:ind w:left="4560" w:hanging="361"/>
      </w:pPr>
      <w:rPr>
        <w:rFonts w:hint="default"/>
      </w:rPr>
    </w:lvl>
    <w:lvl w:ilvl="5" w:tplc="DD800068">
      <w:start w:val="1"/>
      <w:numFmt w:val="bullet"/>
      <w:lvlText w:val="•"/>
      <w:lvlJc w:val="left"/>
      <w:pPr>
        <w:ind w:left="5400" w:hanging="361"/>
      </w:pPr>
      <w:rPr>
        <w:rFonts w:hint="default"/>
      </w:rPr>
    </w:lvl>
    <w:lvl w:ilvl="6" w:tplc="F73A1090">
      <w:start w:val="1"/>
      <w:numFmt w:val="bullet"/>
      <w:lvlText w:val="•"/>
      <w:lvlJc w:val="left"/>
      <w:pPr>
        <w:ind w:left="6240" w:hanging="361"/>
      </w:pPr>
      <w:rPr>
        <w:rFonts w:hint="default"/>
      </w:rPr>
    </w:lvl>
    <w:lvl w:ilvl="7" w:tplc="D85CCAE2">
      <w:start w:val="1"/>
      <w:numFmt w:val="bullet"/>
      <w:lvlText w:val="•"/>
      <w:lvlJc w:val="left"/>
      <w:pPr>
        <w:ind w:left="7080" w:hanging="361"/>
      </w:pPr>
      <w:rPr>
        <w:rFonts w:hint="default"/>
      </w:rPr>
    </w:lvl>
    <w:lvl w:ilvl="8" w:tplc="EEB2C4B8">
      <w:start w:val="1"/>
      <w:numFmt w:val="bullet"/>
      <w:lvlText w:val="•"/>
      <w:lvlJc w:val="left"/>
      <w:pPr>
        <w:ind w:left="7920" w:hanging="361"/>
      </w:pPr>
      <w:rPr>
        <w:rFonts w:hint="default"/>
      </w:rPr>
    </w:lvl>
  </w:abstractNum>
  <w:abstractNum w:abstractNumId="16">
    <w:nsid w:val="45ED5491"/>
    <w:multiLevelType w:val="hybridMultilevel"/>
    <w:tmpl w:val="23526824"/>
    <w:lvl w:ilvl="0" w:tplc="9170DD7A">
      <w:start w:val="1"/>
      <w:numFmt w:val="bullet"/>
      <w:lvlText w:val=""/>
      <w:lvlJc w:val="left"/>
      <w:pPr>
        <w:ind w:left="1199" w:hanging="361"/>
      </w:pPr>
      <w:rPr>
        <w:rFonts w:ascii="Symbol" w:eastAsia="Symbol" w:hAnsi="Symbol" w:hint="default"/>
        <w:w w:val="100"/>
        <w:sz w:val="22"/>
        <w:szCs w:val="22"/>
      </w:rPr>
    </w:lvl>
    <w:lvl w:ilvl="1" w:tplc="2774F2FA">
      <w:start w:val="1"/>
      <w:numFmt w:val="bullet"/>
      <w:lvlText w:val="•"/>
      <w:lvlJc w:val="left"/>
      <w:pPr>
        <w:ind w:left="2040" w:hanging="361"/>
      </w:pPr>
      <w:rPr>
        <w:rFonts w:hint="default"/>
      </w:rPr>
    </w:lvl>
    <w:lvl w:ilvl="2" w:tplc="1BA62272">
      <w:start w:val="1"/>
      <w:numFmt w:val="bullet"/>
      <w:lvlText w:val="•"/>
      <w:lvlJc w:val="left"/>
      <w:pPr>
        <w:ind w:left="2880" w:hanging="361"/>
      </w:pPr>
      <w:rPr>
        <w:rFonts w:hint="default"/>
      </w:rPr>
    </w:lvl>
    <w:lvl w:ilvl="3" w:tplc="ECECB3F4">
      <w:start w:val="1"/>
      <w:numFmt w:val="bullet"/>
      <w:lvlText w:val="•"/>
      <w:lvlJc w:val="left"/>
      <w:pPr>
        <w:ind w:left="3720" w:hanging="361"/>
      </w:pPr>
      <w:rPr>
        <w:rFonts w:hint="default"/>
      </w:rPr>
    </w:lvl>
    <w:lvl w:ilvl="4" w:tplc="11E6105A">
      <w:start w:val="1"/>
      <w:numFmt w:val="bullet"/>
      <w:lvlText w:val="•"/>
      <w:lvlJc w:val="left"/>
      <w:pPr>
        <w:ind w:left="4560" w:hanging="361"/>
      </w:pPr>
      <w:rPr>
        <w:rFonts w:hint="default"/>
      </w:rPr>
    </w:lvl>
    <w:lvl w:ilvl="5" w:tplc="AEA8F7E6">
      <w:start w:val="1"/>
      <w:numFmt w:val="bullet"/>
      <w:lvlText w:val="•"/>
      <w:lvlJc w:val="left"/>
      <w:pPr>
        <w:ind w:left="5400" w:hanging="361"/>
      </w:pPr>
      <w:rPr>
        <w:rFonts w:hint="default"/>
      </w:rPr>
    </w:lvl>
    <w:lvl w:ilvl="6" w:tplc="C808725E">
      <w:start w:val="1"/>
      <w:numFmt w:val="bullet"/>
      <w:lvlText w:val="•"/>
      <w:lvlJc w:val="left"/>
      <w:pPr>
        <w:ind w:left="6240" w:hanging="361"/>
      </w:pPr>
      <w:rPr>
        <w:rFonts w:hint="default"/>
      </w:rPr>
    </w:lvl>
    <w:lvl w:ilvl="7" w:tplc="EDA469F0">
      <w:start w:val="1"/>
      <w:numFmt w:val="bullet"/>
      <w:lvlText w:val="•"/>
      <w:lvlJc w:val="left"/>
      <w:pPr>
        <w:ind w:left="7080" w:hanging="361"/>
      </w:pPr>
      <w:rPr>
        <w:rFonts w:hint="default"/>
      </w:rPr>
    </w:lvl>
    <w:lvl w:ilvl="8" w:tplc="8342F2A2">
      <w:start w:val="1"/>
      <w:numFmt w:val="bullet"/>
      <w:lvlText w:val="•"/>
      <w:lvlJc w:val="left"/>
      <w:pPr>
        <w:ind w:left="7920" w:hanging="361"/>
      </w:pPr>
      <w:rPr>
        <w:rFonts w:hint="default"/>
      </w:rPr>
    </w:lvl>
  </w:abstractNum>
  <w:abstractNum w:abstractNumId="17">
    <w:nsid w:val="46003181"/>
    <w:multiLevelType w:val="hybridMultilevel"/>
    <w:tmpl w:val="DF6C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37F50"/>
    <w:multiLevelType w:val="hybridMultilevel"/>
    <w:tmpl w:val="F86E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CA7E82"/>
    <w:multiLevelType w:val="hybridMultilevel"/>
    <w:tmpl w:val="0D74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8590A"/>
    <w:multiLevelType w:val="hybridMultilevel"/>
    <w:tmpl w:val="029A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265C67"/>
    <w:multiLevelType w:val="hybridMultilevel"/>
    <w:tmpl w:val="59CEAEC2"/>
    <w:lvl w:ilvl="0" w:tplc="BD7A7672">
      <w:start w:val="1"/>
      <w:numFmt w:val="bullet"/>
      <w:lvlText w:val="o"/>
      <w:lvlJc w:val="left"/>
      <w:pPr>
        <w:ind w:left="1200" w:hanging="361"/>
      </w:pPr>
      <w:rPr>
        <w:rFonts w:ascii="Courier New" w:eastAsia="Courier New" w:hAnsi="Courier New" w:hint="default"/>
        <w:w w:val="100"/>
        <w:sz w:val="22"/>
        <w:szCs w:val="22"/>
      </w:rPr>
    </w:lvl>
    <w:lvl w:ilvl="1" w:tplc="7DA8248A">
      <w:start w:val="1"/>
      <w:numFmt w:val="bullet"/>
      <w:lvlText w:val="•"/>
      <w:lvlJc w:val="left"/>
      <w:pPr>
        <w:ind w:left="2040" w:hanging="361"/>
      </w:pPr>
      <w:rPr>
        <w:rFonts w:hint="default"/>
      </w:rPr>
    </w:lvl>
    <w:lvl w:ilvl="2" w:tplc="2A72C6B0">
      <w:start w:val="1"/>
      <w:numFmt w:val="bullet"/>
      <w:lvlText w:val="•"/>
      <w:lvlJc w:val="left"/>
      <w:pPr>
        <w:ind w:left="2880" w:hanging="361"/>
      </w:pPr>
      <w:rPr>
        <w:rFonts w:hint="default"/>
      </w:rPr>
    </w:lvl>
    <w:lvl w:ilvl="3" w:tplc="D8CA5332">
      <w:start w:val="1"/>
      <w:numFmt w:val="bullet"/>
      <w:lvlText w:val="•"/>
      <w:lvlJc w:val="left"/>
      <w:pPr>
        <w:ind w:left="3720" w:hanging="361"/>
      </w:pPr>
      <w:rPr>
        <w:rFonts w:hint="default"/>
      </w:rPr>
    </w:lvl>
    <w:lvl w:ilvl="4" w:tplc="F71238CC">
      <w:start w:val="1"/>
      <w:numFmt w:val="bullet"/>
      <w:lvlText w:val="•"/>
      <w:lvlJc w:val="left"/>
      <w:pPr>
        <w:ind w:left="4560" w:hanging="361"/>
      </w:pPr>
      <w:rPr>
        <w:rFonts w:hint="default"/>
      </w:rPr>
    </w:lvl>
    <w:lvl w:ilvl="5" w:tplc="41FA8578">
      <w:start w:val="1"/>
      <w:numFmt w:val="bullet"/>
      <w:lvlText w:val="•"/>
      <w:lvlJc w:val="left"/>
      <w:pPr>
        <w:ind w:left="5400" w:hanging="361"/>
      </w:pPr>
      <w:rPr>
        <w:rFonts w:hint="default"/>
      </w:rPr>
    </w:lvl>
    <w:lvl w:ilvl="6" w:tplc="D10EAA8E">
      <w:start w:val="1"/>
      <w:numFmt w:val="bullet"/>
      <w:lvlText w:val="•"/>
      <w:lvlJc w:val="left"/>
      <w:pPr>
        <w:ind w:left="6240" w:hanging="361"/>
      </w:pPr>
      <w:rPr>
        <w:rFonts w:hint="default"/>
      </w:rPr>
    </w:lvl>
    <w:lvl w:ilvl="7" w:tplc="BE08E2D4">
      <w:start w:val="1"/>
      <w:numFmt w:val="bullet"/>
      <w:lvlText w:val="•"/>
      <w:lvlJc w:val="left"/>
      <w:pPr>
        <w:ind w:left="7080" w:hanging="361"/>
      </w:pPr>
      <w:rPr>
        <w:rFonts w:hint="default"/>
      </w:rPr>
    </w:lvl>
    <w:lvl w:ilvl="8" w:tplc="7206E77E">
      <w:start w:val="1"/>
      <w:numFmt w:val="bullet"/>
      <w:lvlText w:val="•"/>
      <w:lvlJc w:val="left"/>
      <w:pPr>
        <w:ind w:left="7920" w:hanging="361"/>
      </w:pPr>
      <w:rPr>
        <w:rFonts w:hint="default"/>
      </w:rPr>
    </w:lvl>
  </w:abstractNum>
  <w:abstractNum w:abstractNumId="22">
    <w:nsid w:val="733F0011"/>
    <w:multiLevelType w:val="hybridMultilevel"/>
    <w:tmpl w:val="BB18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C52DF"/>
    <w:multiLevelType w:val="hybridMultilevel"/>
    <w:tmpl w:val="19DC5752"/>
    <w:lvl w:ilvl="0" w:tplc="5060EDEC">
      <w:start w:val="1"/>
      <w:numFmt w:val="lowerLetter"/>
      <w:lvlText w:val="%1)"/>
      <w:lvlJc w:val="left"/>
      <w:pPr>
        <w:ind w:left="839" w:hanging="361"/>
      </w:pPr>
      <w:rPr>
        <w:rFonts w:ascii="Calibri" w:eastAsia="Calibri" w:hAnsi="Calibri" w:hint="default"/>
        <w:spacing w:val="-1"/>
        <w:w w:val="100"/>
        <w:sz w:val="22"/>
        <w:szCs w:val="22"/>
      </w:rPr>
    </w:lvl>
    <w:lvl w:ilvl="1" w:tplc="2B42CB1E">
      <w:start w:val="1"/>
      <w:numFmt w:val="bullet"/>
      <w:lvlText w:val="•"/>
      <w:lvlJc w:val="left"/>
      <w:pPr>
        <w:ind w:left="1716" w:hanging="361"/>
      </w:pPr>
      <w:rPr>
        <w:rFonts w:hint="default"/>
      </w:rPr>
    </w:lvl>
    <w:lvl w:ilvl="2" w:tplc="F2A8BBA2">
      <w:start w:val="1"/>
      <w:numFmt w:val="bullet"/>
      <w:lvlText w:val="•"/>
      <w:lvlJc w:val="left"/>
      <w:pPr>
        <w:ind w:left="2592" w:hanging="361"/>
      </w:pPr>
      <w:rPr>
        <w:rFonts w:hint="default"/>
      </w:rPr>
    </w:lvl>
    <w:lvl w:ilvl="3" w:tplc="B238A888">
      <w:start w:val="1"/>
      <w:numFmt w:val="bullet"/>
      <w:lvlText w:val="•"/>
      <w:lvlJc w:val="left"/>
      <w:pPr>
        <w:ind w:left="3468" w:hanging="361"/>
      </w:pPr>
      <w:rPr>
        <w:rFonts w:hint="default"/>
      </w:rPr>
    </w:lvl>
    <w:lvl w:ilvl="4" w:tplc="ECF28440">
      <w:start w:val="1"/>
      <w:numFmt w:val="bullet"/>
      <w:lvlText w:val="•"/>
      <w:lvlJc w:val="left"/>
      <w:pPr>
        <w:ind w:left="4344" w:hanging="361"/>
      </w:pPr>
      <w:rPr>
        <w:rFonts w:hint="default"/>
      </w:rPr>
    </w:lvl>
    <w:lvl w:ilvl="5" w:tplc="FDBE1F5C">
      <w:start w:val="1"/>
      <w:numFmt w:val="bullet"/>
      <w:lvlText w:val="•"/>
      <w:lvlJc w:val="left"/>
      <w:pPr>
        <w:ind w:left="5220" w:hanging="361"/>
      </w:pPr>
      <w:rPr>
        <w:rFonts w:hint="default"/>
      </w:rPr>
    </w:lvl>
    <w:lvl w:ilvl="6" w:tplc="4C42DF8A">
      <w:start w:val="1"/>
      <w:numFmt w:val="bullet"/>
      <w:lvlText w:val="•"/>
      <w:lvlJc w:val="left"/>
      <w:pPr>
        <w:ind w:left="6096" w:hanging="361"/>
      </w:pPr>
      <w:rPr>
        <w:rFonts w:hint="default"/>
      </w:rPr>
    </w:lvl>
    <w:lvl w:ilvl="7" w:tplc="3ADA19A2">
      <w:start w:val="1"/>
      <w:numFmt w:val="bullet"/>
      <w:lvlText w:val="•"/>
      <w:lvlJc w:val="left"/>
      <w:pPr>
        <w:ind w:left="6972" w:hanging="361"/>
      </w:pPr>
      <w:rPr>
        <w:rFonts w:hint="default"/>
      </w:rPr>
    </w:lvl>
    <w:lvl w:ilvl="8" w:tplc="9F366588">
      <w:start w:val="1"/>
      <w:numFmt w:val="bullet"/>
      <w:lvlText w:val="•"/>
      <w:lvlJc w:val="left"/>
      <w:pPr>
        <w:ind w:left="7848" w:hanging="361"/>
      </w:pPr>
      <w:rPr>
        <w:rFonts w:hint="default"/>
      </w:rPr>
    </w:lvl>
  </w:abstractNum>
  <w:num w:numId="1">
    <w:abstractNumId w:val="21"/>
  </w:num>
  <w:num w:numId="2">
    <w:abstractNumId w:val="15"/>
  </w:num>
  <w:num w:numId="3">
    <w:abstractNumId w:val="8"/>
  </w:num>
  <w:num w:numId="4">
    <w:abstractNumId w:val="2"/>
  </w:num>
  <w:num w:numId="5">
    <w:abstractNumId w:val="1"/>
  </w:num>
  <w:num w:numId="6">
    <w:abstractNumId w:val="23"/>
  </w:num>
  <w:num w:numId="7">
    <w:abstractNumId w:val="13"/>
  </w:num>
  <w:num w:numId="8">
    <w:abstractNumId w:val="16"/>
  </w:num>
  <w:num w:numId="9">
    <w:abstractNumId w:val="20"/>
  </w:num>
  <w:num w:numId="10">
    <w:abstractNumId w:val="9"/>
  </w:num>
  <w:num w:numId="11">
    <w:abstractNumId w:val="22"/>
  </w:num>
  <w:num w:numId="12">
    <w:abstractNumId w:val="17"/>
  </w:num>
  <w:num w:numId="13">
    <w:abstractNumId w:val="7"/>
  </w:num>
  <w:num w:numId="14">
    <w:abstractNumId w:val="6"/>
  </w:num>
  <w:num w:numId="15">
    <w:abstractNumId w:val="19"/>
  </w:num>
  <w:num w:numId="16">
    <w:abstractNumId w:val="3"/>
  </w:num>
  <w:num w:numId="17">
    <w:abstractNumId w:val="18"/>
  </w:num>
  <w:num w:numId="18">
    <w:abstractNumId w:val="12"/>
  </w:num>
  <w:num w:numId="19">
    <w:abstractNumId w:val="0"/>
  </w:num>
  <w:num w:numId="20">
    <w:abstractNumId w:val="14"/>
  </w:num>
  <w:num w:numId="21">
    <w:abstractNumId w:val="4"/>
  </w:num>
  <w:num w:numId="22">
    <w:abstractNumId w:val="10"/>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08"/>
    <w:rsid w:val="00023E0E"/>
    <w:rsid w:val="00027188"/>
    <w:rsid w:val="00031ED5"/>
    <w:rsid w:val="00052541"/>
    <w:rsid w:val="00052E94"/>
    <w:rsid w:val="00057391"/>
    <w:rsid w:val="00063A32"/>
    <w:rsid w:val="00075237"/>
    <w:rsid w:val="0008235E"/>
    <w:rsid w:val="0008785D"/>
    <w:rsid w:val="000939F2"/>
    <w:rsid w:val="000970C5"/>
    <w:rsid w:val="000A01C0"/>
    <w:rsid w:val="000A0A48"/>
    <w:rsid w:val="000A0FA4"/>
    <w:rsid w:val="000A15FA"/>
    <w:rsid w:val="000B59CE"/>
    <w:rsid w:val="000B799C"/>
    <w:rsid w:val="000C28CB"/>
    <w:rsid w:val="000C7FDE"/>
    <w:rsid w:val="000D76A4"/>
    <w:rsid w:val="000F0B97"/>
    <w:rsid w:val="000F4397"/>
    <w:rsid w:val="00103FE3"/>
    <w:rsid w:val="00110BB5"/>
    <w:rsid w:val="0011615F"/>
    <w:rsid w:val="00116CC8"/>
    <w:rsid w:val="0012753F"/>
    <w:rsid w:val="00127E4C"/>
    <w:rsid w:val="001303A4"/>
    <w:rsid w:val="00130C8C"/>
    <w:rsid w:val="00132F56"/>
    <w:rsid w:val="00134CD3"/>
    <w:rsid w:val="0013747F"/>
    <w:rsid w:val="00137CEE"/>
    <w:rsid w:val="00140387"/>
    <w:rsid w:val="00145A8B"/>
    <w:rsid w:val="00146DD8"/>
    <w:rsid w:val="001502C3"/>
    <w:rsid w:val="00157261"/>
    <w:rsid w:val="0016785F"/>
    <w:rsid w:val="00171922"/>
    <w:rsid w:val="001725B1"/>
    <w:rsid w:val="00177D95"/>
    <w:rsid w:val="001849FE"/>
    <w:rsid w:val="00184E98"/>
    <w:rsid w:val="00185D1A"/>
    <w:rsid w:val="00192FF2"/>
    <w:rsid w:val="0019394E"/>
    <w:rsid w:val="001965D2"/>
    <w:rsid w:val="001B0FD3"/>
    <w:rsid w:val="001B48D7"/>
    <w:rsid w:val="001C5217"/>
    <w:rsid w:val="001D044B"/>
    <w:rsid w:val="001D3FCD"/>
    <w:rsid w:val="001D740C"/>
    <w:rsid w:val="001D7C99"/>
    <w:rsid w:val="001E55BE"/>
    <w:rsid w:val="001F3DA0"/>
    <w:rsid w:val="001F4F1B"/>
    <w:rsid w:val="001F6487"/>
    <w:rsid w:val="00200B49"/>
    <w:rsid w:val="00207C13"/>
    <w:rsid w:val="00215CC4"/>
    <w:rsid w:val="00221BAE"/>
    <w:rsid w:val="00222BE5"/>
    <w:rsid w:val="00223E94"/>
    <w:rsid w:val="002311B7"/>
    <w:rsid w:val="0024336C"/>
    <w:rsid w:val="00243CB2"/>
    <w:rsid w:val="0026278B"/>
    <w:rsid w:val="00263FFA"/>
    <w:rsid w:val="002647C5"/>
    <w:rsid w:val="0027538A"/>
    <w:rsid w:val="002834EA"/>
    <w:rsid w:val="002929F9"/>
    <w:rsid w:val="002A0EB3"/>
    <w:rsid w:val="002A477A"/>
    <w:rsid w:val="002B6989"/>
    <w:rsid w:val="002C78F1"/>
    <w:rsid w:val="002D2FAB"/>
    <w:rsid w:val="002D59F1"/>
    <w:rsid w:val="002E0FD9"/>
    <w:rsid w:val="002E378F"/>
    <w:rsid w:val="002E5F98"/>
    <w:rsid w:val="002E7CC9"/>
    <w:rsid w:val="002F5F81"/>
    <w:rsid w:val="002F7ECE"/>
    <w:rsid w:val="0030523F"/>
    <w:rsid w:val="00315ACF"/>
    <w:rsid w:val="003227DD"/>
    <w:rsid w:val="003245C4"/>
    <w:rsid w:val="00327598"/>
    <w:rsid w:val="00327614"/>
    <w:rsid w:val="00336C3B"/>
    <w:rsid w:val="003440D4"/>
    <w:rsid w:val="00344789"/>
    <w:rsid w:val="00350C48"/>
    <w:rsid w:val="003554B0"/>
    <w:rsid w:val="00365E81"/>
    <w:rsid w:val="00370D76"/>
    <w:rsid w:val="0038301E"/>
    <w:rsid w:val="003839FB"/>
    <w:rsid w:val="00384B7B"/>
    <w:rsid w:val="0039329A"/>
    <w:rsid w:val="00396D0D"/>
    <w:rsid w:val="003979A9"/>
    <w:rsid w:val="003A13D4"/>
    <w:rsid w:val="003A41B5"/>
    <w:rsid w:val="003A68D7"/>
    <w:rsid w:val="003B2CB3"/>
    <w:rsid w:val="003C264E"/>
    <w:rsid w:val="003C2DFC"/>
    <w:rsid w:val="003C321C"/>
    <w:rsid w:val="003D337E"/>
    <w:rsid w:val="003E2354"/>
    <w:rsid w:val="003E358E"/>
    <w:rsid w:val="003E3A15"/>
    <w:rsid w:val="003F0FFF"/>
    <w:rsid w:val="003F5AC0"/>
    <w:rsid w:val="0040756F"/>
    <w:rsid w:val="00410F4B"/>
    <w:rsid w:val="004165C9"/>
    <w:rsid w:val="00416C26"/>
    <w:rsid w:val="00417F8A"/>
    <w:rsid w:val="0043234E"/>
    <w:rsid w:val="00443A8E"/>
    <w:rsid w:val="004445BB"/>
    <w:rsid w:val="00454E48"/>
    <w:rsid w:val="004766E0"/>
    <w:rsid w:val="00476A63"/>
    <w:rsid w:val="0049005C"/>
    <w:rsid w:val="00490792"/>
    <w:rsid w:val="00492B27"/>
    <w:rsid w:val="004931F4"/>
    <w:rsid w:val="00497580"/>
    <w:rsid w:val="004B0F0C"/>
    <w:rsid w:val="004B2DE0"/>
    <w:rsid w:val="004B64A9"/>
    <w:rsid w:val="004C66DE"/>
    <w:rsid w:val="004D377C"/>
    <w:rsid w:val="004D3B17"/>
    <w:rsid w:val="004D4A3D"/>
    <w:rsid w:val="004E4F2C"/>
    <w:rsid w:val="004F2F4A"/>
    <w:rsid w:val="00504A9A"/>
    <w:rsid w:val="00506A8D"/>
    <w:rsid w:val="00510915"/>
    <w:rsid w:val="0051336E"/>
    <w:rsid w:val="0051551D"/>
    <w:rsid w:val="005229FD"/>
    <w:rsid w:val="00524924"/>
    <w:rsid w:val="00524C28"/>
    <w:rsid w:val="00532EE9"/>
    <w:rsid w:val="00543AD7"/>
    <w:rsid w:val="005529D2"/>
    <w:rsid w:val="00557679"/>
    <w:rsid w:val="0057435A"/>
    <w:rsid w:val="005750A4"/>
    <w:rsid w:val="005760CA"/>
    <w:rsid w:val="005808BC"/>
    <w:rsid w:val="00583E42"/>
    <w:rsid w:val="00585BA1"/>
    <w:rsid w:val="00590A30"/>
    <w:rsid w:val="00591696"/>
    <w:rsid w:val="005922B5"/>
    <w:rsid w:val="0059692A"/>
    <w:rsid w:val="00597547"/>
    <w:rsid w:val="005A204F"/>
    <w:rsid w:val="005A2FCB"/>
    <w:rsid w:val="005B3A55"/>
    <w:rsid w:val="005C3ADC"/>
    <w:rsid w:val="005C560D"/>
    <w:rsid w:val="005C577F"/>
    <w:rsid w:val="005D7012"/>
    <w:rsid w:val="005D7C2B"/>
    <w:rsid w:val="005E31A8"/>
    <w:rsid w:val="005E6A43"/>
    <w:rsid w:val="005F3703"/>
    <w:rsid w:val="005F7E46"/>
    <w:rsid w:val="00603099"/>
    <w:rsid w:val="00603101"/>
    <w:rsid w:val="006040EC"/>
    <w:rsid w:val="00604354"/>
    <w:rsid w:val="00613551"/>
    <w:rsid w:val="00622118"/>
    <w:rsid w:val="006311A8"/>
    <w:rsid w:val="006430D0"/>
    <w:rsid w:val="006436D9"/>
    <w:rsid w:val="00645DF6"/>
    <w:rsid w:val="006462EF"/>
    <w:rsid w:val="006532CB"/>
    <w:rsid w:val="00653B4B"/>
    <w:rsid w:val="0066571A"/>
    <w:rsid w:val="00667320"/>
    <w:rsid w:val="00672C5B"/>
    <w:rsid w:val="0068490E"/>
    <w:rsid w:val="006849D7"/>
    <w:rsid w:val="00690BAD"/>
    <w:rsid w:val="006953E6"/>
    <w:rsid w:val="006A4895"/>
    <w:rsid w:val="006A55F0"/>
    <w:rsid w:val="006B641C"/>
    <w:rsid w:val="006C48A5"/>
    <w:rsid w:val="006C785F"/>
    <w:rsid w:val="006D48EC"/>
    <w:rsid w:val="006D501F"/>
    <w:rsid w:val="006D636B"/>
    <w:rsid w:val="006D67A6"/>
    <w:rsid w:val="006D6852"/>
    <w:rsid w:val="006E7632"/>
    <w:rsid w:val="006F0559"/>
    <w:rsid w:val="006F78B3"/>
    <w:rsid w:val="00703E1C"/>
    <w:rsid w:val="007053BB"/>
    <w:rsid w:val="00713653"/>
    <w:rsid w:val="00716B8D"/>
    <w:rsid w:val="00717332"/>
    <w:rsid w:val="00717E32"/>
    <w:rsid w:val="007247B9"/>
    <w:rsid w:val="00725765"/>
    <w:rsid w:val="0072747C"/>
    <w:rsid w:val="00735EBE"/>
    <w:rsid w:val="007510C2"/>
    <w:rsid w:val="00751B0A"/>
    <w:rsid w:val="00752308"/>
    <w:rsid w:val="00765077"/>
    <w:rsid w:val="00770454"/>
    <w:rsid w:val="00771D84"/>
    <w:rsid w:val="007744BC"/>
    <w:rsid w:val="00780E47"/>
    <w:rsid w:val="00793776"/>
    <w:rsid w:val="00795365"/>
    <w:rsid w:val="00796DEE"/>
    <w:rsid w:val="007B29FE"/>
    <w:rsid w:val="007B3A8A"/>
    <w:rsid w:val="007B3AF0"/>
    <w:rsid w:val="007B683E"/>
    <w:rsid w:val="007B7F68"/>
    <w:rsid w:val="007C547E"/>
    <w:rsid w:val="007C74B1"/>
    <w:rsid w:val="007D62EA"/>
    <w:rsid w:val="007E3A43"/>
    <w:rsid w:val="007F3323"/>
    <w:rsid w:val="007F72F2"/>
    <w:rsid w:val="00800407"/>
    <w:rsid w:val="008011C3"/>
    <w:rsid w:val="008026F7"/>
    <w:rsid w:val="00807D02"/>
    <w:rsid w:val="008113BF"/>
    <w:rsid w:val="00814702"/>
    <w:rsid w:val="0081514F"/>
    <w:rsid w:val="00817C29"/>
    <w:rsid w:val="008217A1"/>
    <w:rsid w:val="0082518A"/>
    <w:rsid w:val="00832378"/>
    <w:rsid w:val="00833748"/>
    <w:rsid w:val="008355D9"/>
    <w:rsid w:val="00836420"/>
    <w:rsid w:val="00845DF1"/>
    <w:rsid w:val="0084652D"/>
    <w:rsid w:val="008469AB"/>
    <w:rsid w:val="00852F2A"/>
    <w:rsid w:val="00853707"/>
    <w:rsid w:val="00862CB1"/>
    <w:rsid w:val="00870E93"/>
    <w:rsid w:val="008822E8"/>
    <w:rsid w:val="00884CD4"/>
    <w:rsid w:val="00887A07"/>
    <w:rsid w:val="00887AF1"/>
    <w:rsid w:val="0089289C"/>
    <w:rsid w:val="00894290"/>
    <w:rsid w:val="00895659"/>
    <w:rsid w:val="008A2CE8"/>
    <w:rsid w:val="008B3212"/>
    <w:rsid w:val="008B3D41"/>
    <w:rsid w:val="008B4835"/>
    <w:rsid w:val="008B51E4"/>
    <w:rsid w:val="008D270E"/>
    <w:rsid w:val="008D2A34"/>
    <w:rsid w:val="008D7068"/>
    <w:rsid w:val="008E16B1"/>
    <w:rsid w:val="008E3FA8"/>
    <w:rsid w:val="008E4E25"/>
    <w:rsid w:val="008F28F3"/>
    <w:rsid w:val="008F5F06"/>
    <w:rsid w:val="0090027F"/>
    <w:rsid w:val="00903AD0"/>
    <w:rsid w:val="00904981"/>
    <w:rsid w:val="00910B45"/>
    <w:rsid w:val="00915118"/>
    <w:rsid w:val="00920590"/>
    <w:rsid w:val="009306ED"/>
    <w:rsid w:val="00934AC7"/>
    <w:rsid w:val="00946AF1"/>
    <w:rsid w:val="009538D0"/>
    <w:rsid w:val="0095497A"/>
    <w:rsid w:val="009732F2"/>
    <w:rsid w:val="00977C3D"/>
    <w:rsid w:val="00982195"/>
    <w:rsid w:val="0099000F"/>
    <w:rsid w:val="00992D70"/>
    <w:rsid w:val="00995331"/>
    <w:rsid w:val="009A1A1F"/>
    <w:rsid w:val="009A700A"/>
    <w:rsid w:val="009A732E"/>
    <w:rsid w:val="009B0658"/>
    <w:rsid w:val="009B06AC"/>
    <w:rsid w:val="009B3E6A"/>
    <w:rsid w:val="009B6EF4"/>
    <w:rsid w:val="009C2E6C"/>
    <w:rsid w:val="009E59CE"/>
    <w:rsid w:val="009F35C9"/>
    <w:rsid w:val="00A007B3"/>
    <w:rsid w:val="00A01FD8"/>
    <w:rsid w:val="00A06CC5"/>
    <w:rsid w:val="00A1233A"/>
    <w:rsid w:val="00A133B8"/>
    <w:rsid w:val="00A1470C"/>
    <w:rsid w:val="00A22B3B"/>
    <w:rsid w:val="00A27F06"/>
    <w:rsid w:val="00A356CF"/>
    <w:rsid w:val="00A3679A"/>
    <w:rsid w:val="00A458E6"/>
    <w:rsid w:val="00A46FDF"/>
    <w:rsid w:val="00A5431A"/>
    <w:rsid w:val="00A55077"/>
    <w:rsid w:val="00A60AF6"/>
    <w:rsid w:val="00A64F42"/>
    <w:rsid w:val="00A83542"/>
    <w:rsid w:val="00A85ADD"/>
    <w:rsid w:val="00A87C51"/>
    <w:rsid w:val="00A900A7"/>
    <w:rsid w:val="00A92943"/>
    <w:rsid w:val="00AA1958"/>
    <w:rsid w:val="00AC178A"/>
    <w:rsid w:val="00AC1BFD"/>
    <w:rsid w:val="00AD05A6"/>
    <w:rsid w:val="00AD1A3C"/>
    <w:rsid w:val="00AD2A16"/>
    <w:rsid w:val="00AD5E86"/>
    <w:rsid w:val="00AD7AC9"/>
    <w:rsid w:val="00AE091A"/>
    <w:rsid w:val="00AE0B03"/>
    <w:rsid w:val="00AF22CA"/>
    <w:rsid w:val="00AF274A"/>
    <w:rsid w:val="00AF3499"/>
    <w:rsid w:val="00AF59FC"/>
    <w:rsid w:val="00B014DC"/>
    <w:rsid w:val="00B0199C"/>
    <w:rsid w:val="00B0286A"/>
    <w:rsid w:val="00B03ECF"/>
    <w:rsid w:val="00B05D3B"/>
    <w:rsid w:val="00B133D6"/>
    <w:rsid w:val="00B21E30"/>
    <w:rsid w:val="00B22CC0"/>
    <w:rsid w:val="00B26F28"/>
    <w:rsid w:val="00B333AD"/>
    <w:rsid w:val="00B37CC5"/>
    <w:rsid w:val="00B404C2"/>
    <w:rsid w:val="00B504D7"/>
    <w:rsid w:val="00B5481C"/>
    <w:rsid w:val="00B574DA"/>
    <w:rsid w:val="00B62B50"/>
    <w:rsid w:val="00B63987"/>
    <w:rsid w:val="00B64BA9"/>
    <w:rsid w:val="00B65FF0"/>
    <w:rsid w:val="00B6714E"/>
    <w:rsid w:val="00B71589"/>
    <w:rsid w:val="00B7200A"/>
    <w:rsid w:val="00B7547A"/>
    <w:rsid w:val="00B802E7"/>
    <w:rsid w:val="00B81F95"/>
    <w:rsid w:val="00B91356"/>
    <w:rsid w:val="00B933FC"/>
    <w:rsid w:val="00B96120"/>
    <w:rsid w:val="00BA21B4"/>
    <w:rsid w:val="00BA56EC"/>
    <w:rsid w:val="00BB180A"/>
    <w:rsid w:val="00BB2E05"/>
    <w:rsid w:val="00BB5CF3"/>
    <w:rsid w:val="00BB76B8"/>
    <w:rsid w:val="00BC1BAC"/>
    <w:rsid w:val="00BC7098"/>
    <w:rsid w:val="00BD6097"/>
    <w:rsid w:val="00BE100A"/>
    <w:rsid w:val="00BE2906"/>
    <w:rsid w:val="00BE3823"/>
    <w:rsid w:val="00BF1035"/>
    <w:rsid w:val="00BF2B78"/>
    <w:rsid w:val="00BF6531"/>
    <w:rsid w:val="00BF69F6"/>
    <w:rsid w:val="00C05A3D"/>
    <w:rsid w:val="00C10F55"/>
    <w:rsid w:val="00C132E5"/>
    <w:rsid w:val="00C1382D"/>
    <w:rsid w:val="00C153B9"/>
    <w:rsid w:val="00C177F0"/>
    <w:rsid w:val="00C2731E"/>
    <w:rsid w:val="00C27DD8"/>
    <w:rsid w:val="00C3373C"/>
    <w:rsid w:val="00C41097"/>
    <w:rsid w:val="00C52800"/>
    <w:rsid w:val="00C55A6E"/>
    <w:rsid w:val="00C6187A"/>
    <w:rsid w:val="00C70A00"/>
    <w:rsid w:val="00C74819"/>
    <w:rsid w:val="00C86917"/>
    <w:rsid w:val="00C913E8"/>
    <w:rsid w:val="00C922EF"/>
    <w:rsid w:val="00C95434"/>
    <w:rsid w:val="00CB40D5"/>
    <w:rsid w:val="00CB798E"/>
    <w:rsid w:val="00CC0170"/>
    <w:rsid w:val="00CC13C3"/>
    <w:rsid w:val="00CD491C"/>
    <w:rsid w:val="00CD6182"/>
    <w:rsid w:val="00CE0029"/>
    <w:rsid w:val="00CE5100"/>
    <w:rsid w:val="00CF0750"/>
    <w:rsid w:val="00CF1320"/>
    <w:rsid w:val="00CF603D"/>
    <w:rsid w:val="00CF7356"/>
    <w:rsid w:val="00CF771B"/>
    <w:rsid w:val="00D0557F"/>
    <w:rsid w:val="00D072D2"/>
    <w:rsid w:val="00D0777A"/>
    <w:rsid w:val="00D22F4D"/>
    <w:rsid w:val="00D2639D"/>
    <w:rsid w:val="00D30538"/>
    <w:rsid w:val="00D32742"/>
    <w:rsid w:val="00D32908"/>
    <w:rsid w:val="00D3552D"/>
    <w:rsid w:val="00D37EC2"/>
    <w:rsid w:val="00D4366E"/>
    <w:rsid w:val="00D456D5"/>
    <w:rsid w:val="00D4670C"/>
    <w:rsid w:val="00D56DB3"/>
    <w:rsid w:val="00D728B9"/>
    <w:rsid w:val="00D80401"/>
    <w:rsid w:val="00D830F4"/>
    <w:rsid w:val="00D84E39"/>
    <w:rsid w:val="00D878D3"/>
    <w:rsid w:val="00DA3D55"/>
    <w:rsid w:val="00DA6F05"/>
    <w:rsid w:val="00DC23DF"/>
    <w:rsid w:val="00DC4784"/>
    <w:rsid w:val="00DC6213"/>
    <w:rsid w:val="00DC7ACA"/>
    <w:rsid w:val="00DE1ADB"/>
    <w:rsid w:val="00DE3F03"/>
    <w:rsid w:val="00DE533A"/>
    <w:rsid w:val="00DF2E0E"/>
    <w:rsid w:val="00E0170E"/>
    <w:rsid w:val="00E0494E"/>
    <w:rsid w:val="00E07DC6"/>
    <w:rsid w:val="00E218E7"/>
    <w:rsid w:val="00E32419"/>
    <w:rsid w:val="00E34B7C"/>
    <w:rsid w:val="00E501D6"/>
    <w:rsid w:val="00E52A95"/>
    <w:rsid w:val="00E56B9E"/>
    <w:rsid w:val="00E62A20"/>
    <w:rsid w:val="00E83D74"/>
    <w:rsid w:val="00E918EB"/>
    <w:rsid w:val="00E92B49"/>
    <w:rsid w:val="00E92E86"/>
    <w:rsid w:val="00EB00FF"/>
    <w:rsid w:val="00EB7438"/>
    <w:rsid w:val="00EC30E2"/>
    <w:rsid w:val="00ED2910"/>
    <w:rsid w:val="00ED2E3A"/>
    <w:rsid w:val="00ED3027"/>
    <w:rsid w:val="00F10828"/>
    <w:rsid w:val="00F132BC"/>
    <w:rsid w:val="00F32308"/>
    <w:rsid w:val="00F326D0"/>
    <w:rsid w:val="00F36D61"/>
    <w:rsid w:val="00F41CCE"/>
    <w:rsid w:val="00F4580C"/>
    <w:rsid w:val="00F51B2C"/>
    <w:rsid w:val="00F52BBF"/>
    <w:rsid w:val="00F5380F"/>
    <w:rsid w:val="00F55D81"/>
    <w:rsid w:val="00F70EA2"/>
    <w:rsid w:val="00F727DC"/>
    <w:rsid w:val="00F7730D"/>
    <w:rsid w:val="00F803E0"/>
    <w:rsid w:val="00F82C0B"/>
    <w:rsid w:val="00F82FD7"/>
    <w:rsid w:val="00F83429"/>
    <w:rsid w:val="00F861AC"/>
    <w:rsid w:val="00F86D4F"/>
    <w:rsid w:val="00F9219E"/>
    <w:rsid w:val="00F95B89"/>
    <w:rsid w:val="00FA346F"/>
    <w:rsid w:val="00FC2647"/>
    <w:rsid w:val="00FC3DC8"/>
    <w:rsid w:val="00FD77F7"/>
    <w:rsid w:val="00FE2D79"/>
    <w:rsid w:val="00FE5532"/>
    <w:rsid w:val="00FE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34C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18"/>
  </w:style>
  <w:style w:type="paragraph" w:styleId="Heading1">
    <w:name w:val="heading 1"/>
    <w:basedOn w:val="Normal"/>
    <w:next w:val="Normal"/>
    <w:link w:val="Heading1Char"/>
    <w:uiPriority w:val="9"/>
    <w:qFormat/>
    <w:rsid w:val="0062211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2211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2211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62211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62211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62211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2211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221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221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023E0E"/>
    <w:pPr>
      <w:ind w:left="341"/>
    </w:pPr>
    <w:rPr>
      <w:rFonts w:ascii="Calibri" w:eastAsia="Calibri" w:hAnsi="Calibri"/>
      <w:sz w:val="22"/>
      <w:szCs w:val="22"/>
    </w:rPr>
  </w:style>
  <w:style w:type="paragraph" w:styleId="BodyText">
    <w:name w:val="Body Text"/>
    <w:basedOn w:val="Normal"/>
    <w:uiPriority w:val="1"/>
    <w:rsid w:val="00023E0E"/>
    <w:pPr>
      <w:ind w:left="120"/>
    </w:pPr>
    <w:rPr>
      <w:rFonts w:ascii="Calibri" w:eastAsia="Calibri" w:hAnsi="Calibri"/>
      <w:sz w:val="22"/>
      <w:szCs w:val="22"/>
    </w:rPr>
  </w:style>
  <w:style w:type="paragraph" w:styleId="ListParagraph">
    <w:name w:val="List Paragraph"/>
    <w:basedOn w:val="Normal"/>
    <w:uiPriority w:val="34"/>
    <w:qFormat/>
    <w:rsid w:val="00023E0E"/>
    <w:pPr>
      <w:ind w:left="720"/>
      <w:contextualSpacing/>
    </w:pPr>
  </w:style>
  <w:style w:type="paragraph" w:customStyle="1" w:styleId="TableParagraph">
    <w:name w:val="Table Paragraph"/>
    <w:basedOn w:val="Normal"/>
    <w:uiPriority w:val="1"/>
    <w:rsid w:val="00023E0E"/>
  </w:style>
  <w:style w:type="character" w:customStyle="1" w:styleId="Heading1Char">
    <w:name w:val="Heading 1 Char"/>
    <w:basedOn w:val="DefaultParagraphFont"/>
    <w:link w:val="Heading1"/>
    <w:uiPriority w:val="9"/>
    <w:rsid w:val="0062211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622118"/>
    <w:rPr>
      <w:caps/>
      <w:spacing w:val="15"/>
      <w:shd w:val="clear" w:color="auto" w:fill="DBE5F1" w:themeFill="accent1" w:themeFillTint="33"/>
    </w:rPr>
  </w:style>
  <w:style w:type="character" w:customStyle="1" w:styleId="Heading3Char">
    <w:name w:val="Heading 3 Char"/>
    <w:basedOn w:val="DefaultParagraphFont"/>
    <w:link w:val="Heading3"/>
    <w:uiPriority w:val="9"/>
    <w:rsid w:val="00622118"/>
    <w:rPr>
      <w:caps/>
      <w:color w:val="243F60" w:themeColor="accent1" w:themeShade="7F"/>
      <w:spacing w:val="15"/>
    </w:rPr>
  </w:style>
  <w:style w:type="character" w:customStyle="1" w:styleId="Heading4Char">
    <w:name w:val="Heading 4 Char"/>
    <w:basedOn w:val="DefaultParagraphFont"/>
    <w:link w:val="Heading4"/>
    <w:uiPriority w:val="9"/>
    <w:rsid w:val="00622118"/>
    <w:rPr>
      <w:caps/>
      <w:color w:val="365F91" w:themeColor="accent1" w:themeShade="BF"/>
      <w:spacing w:val="10"/>
    </w:rPr>
  </w:style>
  <w:style w:type="character" w:customStyle="1" w:styleId="Heading5Char">
    <w:name w:val="Heading 5 Char"/>
    <w:basedOn w:val="DefaultParagraphFont"/>
    <w:link w:val="Heading5"/>
    <w:uiPriority w:val="9"/>
    <w:rsid w:val="00622118"/>
    <w:rPr>
      <w:caps/>
      <w:color w:val="365F91" w:themeColor="accent1" w:themeShade="BF"/>
      <w:spacing w:val="10"/>
    </w:rPr>
  </w:style>
  <w:style w:type="character" w:customStyle="1" w:styleId="Heading6Char">
    <w:name w:val="Heading 6 Char"/>
    <w:basedOn w:val="DefaultParagraphFont"/>
    <w:link w:val="Heading6"/>
    <w:uiPriority w:val="9"/>
    <w:rsid w:val="00622118"/>
    <w:rPr>
      <w:caps/>
      <w:color w:val="365F91" w:themeColor="accent1" w:themeShade="BF"/>
      <w:spacing w:val="10"/>
    </w:rPr>
  </w:style>
  <w:style w:type="character" w:customStyle="1" w:styleId="Heading7Char">
    <w:name w:val="Heading 7 Char"/>
    <w:basedOn w:val="DefaultParagraphFont"/>
    <w:link w:val="Heading7"/>
    <w:uiPriority w:val="9"/>
    <w:semiHidden/>
    <w:rsid w:val="00622118"/>
    <w:rPr>
      <w:caps/>
      <w:color w:val="365F91" w:themeColor="accent1" w:themeShade="BF"/>
      <w:spacing w:val="10"/>
    </w:rPr>
  </w:style>
  <w:style w:type="character" w:customStyle="1" w:styleId="Heading8Char">
    <w:name w:val="Heading 8 Char"/>
    <w:basedOn w:val="DefaultParagraphFont"/>
    <w:link w:val="Heading8"/>
    <w:uiPriority w:val="9"/>
    <w:semiHidden/>
    <w:rsid w:val="00622118"/>
    <w:rPr>
      <w:caps/>
      <w:spacing w:val="10"/>
      <w:sz w:val="18"/>
      <w:szCs w:val="18"/>
    </w:rPr>
  </w:style>
  <w:style w:type="character" w:customStyle="1" w:styleId="Heading9Char">
    <w:name w:val="Heading 9 Char"/>
    <w:basedOn w:val="DefaultParagraphFont"/>
    <w:link w:val="Heading9"/>
    <w:uiPriority w:val="9"/>
    <w:semiHidden/>
    <w:rsid w:val="00622118"/>
    <w:rPr>
      <w:i/>
      <w:iCs/>
      <w:caps/>
      <w:spacing w:val="10"/>
      <w:sz w:val="18"/>
      <w:szCs w:val="18"/>
    </w:rPr>
  </w:style>
  <w:style w:type="paragraph" w:styleId="Caption">
    <w:name w:val="caption"/>
    <w:basedOn w:val="Normal"/>
    <w:next w:val="Normal"/>
    <w:uiPriority w:val="35"/>
    <w:semiHidden/>
    <w:unhideWhenUsed/>
    <w:qFormat/>
    <w:rsid w:val="00622118"/>
    <w:rPr>
      <w:b/>
      <w:bCs/>
      <w:color w:val="365F91" w:themeColor="accent1" w:themeShade="BF"/>
      <w:sz w:val="16"/>
      <w:szCs w:val="16"/>
    </w:rPr>
  </w:style>
  <w:style w:type="paragraph" w:styleId="Title">
    <w:name w:val="Title"/>
    <w:basedOn w:val="Normal"/>
    <w:next w:val="Normal"/>
    <w:link w:val="TitleChar"/>
    <w:uiPriority w:val="10"/>
    <w:qFormat/>
    <w:rsid w:val="0062211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2211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221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22118"/>
    <w:rPr>
      <w:caps/>
      <w:color w:val="595959" w:themeColor="text1" w:themeTint="A6"/>
      <w:spacing w:val="10"/>
      <w:sz w:val="21"/>
      <w:szCs w:val="21"/>
    </w:rPr>
  </w:style>
  <w:style w:type="character" w:styleId="Strong">
    <w:name w:val="Strong"/>
    <w:uiPriority w:val="22"/>
    <w:qFormat/>
    <w:rsid w:val="00622118"/>
    <w:rPr>
      <w:b/>
      <w:bCs/>
    </w:rPr>
  </w:style>
  <w:style w:type="character" w:styleId="Emphasis">
    <w:name w:val="Emphasis"/>
    <w:uiPriority w:val="20"/>
    <w:qFormat/>
    <w:rsid w:val="00622118"/>
    <w:rPr>
      <w:caps/>
      <w:color w:val="243F60" w:themeColor="accent1" w:themeShade="7F"/>
      <w:spacing w:val="5"/>
    </w:rPr>
  </w:style>
  <w:style w:type="paragraph" w:styleId="NoSpacing">
    <w:name w:val="No Spacing"/>
    <w:uiPriority w:val="1"/>
    <w:qFormat/>
    <w:rsid w:val="00622118"/>
    <w:pPr>
      <w:spacing w:after="0" w:line="240" w:lineRule="auto"/>
    </w:pPr>
  </w:style>
  <w:style w:type="paragraph" w:styleId="Quote">
    <w:name w:val="Quote"/>
    <w:basedOn w:val="Normal"/>
    <w:next w:val="Normal"/>
    <w:link w:val="QuoteChar"/>
    <w:uiPriority w:val="29"/>
    <w:qFormat/>
    <w:rsid w:val="00622118"/>
    <w:rPr>
      <w:i/>
      <w:iCs/>
      <w:sz w:val="24"/>
      <w:szCs w:val="24"/>
    </w:rPr>
  </w:style>
  <w:style w:type="character" w:customStyle="1" w:styleId="QuoteChar">
    <w:name w:val="Quote Char"/>
    <w:basedOn w:val="DefaultParagraphFont"/>
    <w:link w:val="Quote"/>
    <w:uiPriority w:val="29"/>
    <w:rsid w:val="00622118"/>
    <w:rPr>
      <w:i/>
      <w:iCs/>
      <w:sz w:val="24"/>
      <w:szCs w:val="24"/>
    </w:rPr>
  </w:style>
  <w:style w:type="paragraph" w:styleId="IntenseQuote">
    <w:name w:val="Intense Quote"/>
    <w:basedOn w:val="Normal"/>
    <w:next w:val="Normal"/>
    <w:link w:val="IntenseQuoteChar"/>
    <w:uiPriority w:val="30"/>
    <w:qFormat/>
    <w:rsid w:val="0062211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22118"/>
    <w:rPr>
      <w:color w:val="4F81BD" w:themeColor="accent1"/>
      <w:sz w:val="24"/>
      <w:szCs w:val="24"/>
    </w:rPr>
  </w:style>
  <w:style w:type="character" w:styleId="SubtleEmphasis">
    <w:name w:val="Subtle Emphasis"/>
    <w:uiPriority w:val="19"/>
    <w:qFormat/>
    <w:rsid w:val="00622118"/>
    <w:rPr>
      <w:i/>
      <w:iCs/>
      <w:color w:val="243F60" w:themeColor="accent1" w:themeShade="7F"/>
    </w:rPr>
  </w:style>
  <w:style w:type="character" w:styleId="IntenseEmphasis">
    <w:name w:val="Intense Emphasis"/>
    <w:uiPriority w:val="21"/>
    <w:qFormat/>
    <w:rsid w:val="00622118"/>
    <w:rPr>
      <w:b/>
      <w:bCs/>
      <w:caps/>
      <w:color w:val="243F60" w:themeColor="accent1" w:themeShade="7F"/>
      <w:spacing w:val="10"/>
    </w:rPr>
  </w:style>
  <w:style w:type="character" w:styleId="SubtleReference">
    <w:name w:val="Subtle Reference"/>
    <w:uiPriority w:val="31"/>
    <w:qFormat/>
    <w:rsid w:val="00622118"/>
    <w:rPr>
      <w:b/>
      <w:bCs/>
      <w:color w:val="4F81BD" w:themeColor="accent1"/>
    </w:rPr>
  </w:style>
  <w:style w:type="character" w:styleId="IntenseReference">
    <w:name w:val="Intense Reference"/>
    <w:uiPriority w:val="32"/>
    <w:qFormat/>
    <w:rsid w:val="00622118"/>
    <w:rPr>
      <w:b/>
      <w:bCs/>
      <w:i/>
      <w:iCs/>
      <w:caps/>
      <w:color w:val="4F81BD" w:themeColor="accent1"/>
    </w:rPr>
  </w:style>
  <w:style w:type="character" w:styleId="BookTitle">
    <w:name w:val="Book Title"/>
    <w:uiPriority w:val="33"/>
    <w:qFormat/>
    <w:rsid w:val="00622118"/>
    <w:rPr>
      <w:b/>
      <w:bCs/>
      <w:i/>
      <w:iCs/>
      <w:spacing w:val="0"/>
    </w:rPr>
  </w:style>
  <w:style w:type="paragraph" w:styleId="TOCHeading">
    <w:name w:val="TOC Heading"/>
    <w:basedOn w:val="Heading1"/>
    <w:next w:val="Normal"/>
    <w:uiPriority w:val="39"/>
    <w:unhideWhenUsed/>
    <w:qFormat/>
    <w:rsid w:val="00622118"/>
    <w:pPr>
      <w:outlineLvl w:val="9"/>
    </w:pPr>
  </w:style>
  <w:style w:type="paragraph" w:styleId="Header">
    <w:name w:val="header"/>
    <w:basedOn w:val="Normal"/>
    <w:link w:val="HeaderChar"/>
    <w:uiPriority w:val="99"/>
    <w:unhideWhenUsed/>
    <w:rsid w:val="00A60A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0AF6"/>
  </w:style>
  <w:style w:type="paragraph" w:styleId="Footer">
    <w:name w:val="footer"/>
    <w:basedOn w:val="Normal"/>
    <w:link w:val="FooterChar"/>
    <w:uiPriority w:val="99"/>
    <w:unhideWhenUsed/>
    <w:rsid w:val="00A60AF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0AF6"/>
  </w:style>
  <w:style w:type="character" w:styleId="Hyperlink">
    <w:name w:val="Hyperlink"/>
    <w:basedOn w:val="DefaultParagraphFont"/>
    <w:uiPriority w:val="99"/>
    <w:unhideWhenUsed/>
    <w:rsid w:val="00870E93"/>
    <w:rPr>
      <w:color w:val="0000FF" w:themeColor="hyperlink"/>
      <w:u w:val="single"/>
    </w:rPr>
  </w:style>
  <w:style w:type="table" w:styleId="TableGrid">
    <w:name w:val="Table Grid"/>
    <w:basedOn w:val="TableNormal"/>
    <w:uiPriority w:val="39"/>
    <w:rsid w:val="007744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27538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6571A"/>
    <w:rPr>
      <w:sz w:val="16"/>
      <w:szCs w:val="16"/>
    </w:rPr>
  </w:style>
  <w:style w:type="paragraph" w:styleId="CommentText">
    <w:name w:val="annotation text"/>
    <w:basedOn w:val="Normal"/>
    <w:link w:val="CommentTextChar"/>
    <w:uiPriority w:val="99"/>
    <w:semiHidden/>
    <w:unhideWhenUsed/>
    <w:rsid w:val="0066571A"/>
    <w:pPr>
      <w:spacing w:line="240" w:lineRule="auto"/>
    </w:pPr>
  </w:style>
  <w:style w:type="character" w:customStyle="1" w:styleId="CommentTextChar">
    <w:name w:val="Comment Text Char"/>
    <w:basedOn w:val="DefaultParagraphFont"/>
    <w:link w:val="CommentText"/>
    <w:uiPriority w:val="99"/>
    <w:semiHidden/>
    <w:rsid w:val="0066571A"/>
  </w:style>
  <w:style w:type="paragraph" w:styleId="CommentSubject">
    <w:name w:val="annotation subject"/>
    <w:basedOn w:val="CommentText"/>
    <w:next w:val="CommentText"/>
    <w:link w:val="CommentSubjectChar"/>
    <w:uiPriority w:val="99"/>
    <w:semiHidden/>
    <w:unhideWhenUsed/>
    <w:rsid w:val="0066571A"/>
    <w:rPr>
      <w:b/>
      <w:bCs/>
    </w:rPr>
  </w:style>
  <w:style w:type="character" w:customStyle="1" w:styleId="CommentSubjectChar">
    <w:name w:val="Comment Subject Char"/>
    <w:basedOn w:val="CommentTextChar"/>
    <w:link w:val="CommentSubject"/>
    <w:uiPriority w:val="99"/>
    <w:semiHidden/>
    <w:rsid w:val="0066571A"/>
    <w:rPr>
      <w:b/>
      <w:bCs/>
    </w:rPr>
  </w:style>
  <w:style w:type="paragraph" w:styleId="BalloonText">
    <w:name w:val="Balloon Text"/>
    <w:basedOn w:val="Normal"/>
    <w:link w:val="BalloonTextChar"/>
    <w:uiPriority w:val="99"/>
    <w:semiHidden/>
    <w:unhideWhenUsed/>
    <w:rsid w:val="006657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1A"/>
    <w:rPr>
      <w:rFonts w:ascii="Segoe UI" w:hAnsi="Segoe UI" w:cs="Segoe UI"/>
      <w:sz w:val="18"/>
      <w:szCs w:val="18"/>
    </w:rPr>
  </w:style>
  <w:style w:type="paragraph" w:styleId="FootnoteText">
    <w:name w:val="footnote text"/>
    <w:basedOn w:val="Normal"/>
    <w:link w:val="FootnoteTextChar"/>
    <w:uiPriority w:val="99"/>
    <w:semiHidden/>
    <w:unhideWhenUsed/>
    <w:rsid w:val="00AF22CA"/>
    <w:pPr>
      <w:spacing w:before="0" w:after="0" w:line="240" w:lineRule="auto"/>
    </w:pPr>
  </w:style>
  <w:style w:type="character" w:customStyle="1" w:styleId="FootnoteTextChar">
    <w:name w:val="Footnote Text Char"/>
    <w:basedOn w:val="DefaultParagraphFont"/>
    <w:link w:val="FootnoteText"/>
    <w:uiPriority w:val="99"/>
    <w:semiHidden/>
    <w:rsid w:val="00AF22CA"/>
  </w:style>
  <w:style w:type="character" w:styleId="FootnoteReference">
    <w:name w:val="footnote reference"/>
    <w:basedOn w:val="DefaultParagraphFont"/>
    <w:uiPriority w:val="99"/>
    <w:semiHidden/>
    <w:unhideWhenUsed/>
    <w:rsid w:val="00AF22CA"/>
    <w:rPr>
      <w:vertAlign w:val="superscript"/>
    </w:rPr>
  </w:style>
  <w:style w:type="paragraph" w:styleId="TOC3">
    <w:name w:val="toc 3"/>
    <w:basedOn w:val="Normal"/>
    <w:next w:val="Normal"/>
    <w:autoRedefine/>
    <w:uiPriority w:val="39"/>
    <w:unhideWhenUsed/>
    <w:rsid w:val="00243CB2"/>
    <w:pPr>
      <w:spacing w:after="100"/>
      <w:ind w:left="400"/>
    </w:pPr>
  </w:style>
  <w:style w:type="paragraph" w:styleId="TOC2">
    <w:name w:val="toc 2"/>
    <w:basedOn w:val="Normal"/>
    <w:next w:val="Normal"/>
    <w:autoRedefine/>
    <w:uiPriority w:val="39"/>
    <w:unhideWhenUsed/>
    <w:rsid w:val="00243CB2"/>
    <w:pPr>
      <w:spacing w:after="100"/>
      <w:ind w:left="200"/>
    </w:pPr>
  </w:style>
  <w:style w:type="table" w:customStyle="1" w:styleId="GridTable3-Accent11">
    <w:name w:val="Grid Table 3 - Accent 11"/>
    <w:basedOn w:val="TableNormal"/>
    <w:uiPriority w:val="48"/>
    <w:rsid w:val="00116C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118"/>
  </w:style>
  <w:style w:type="paragraph" w:styleId="Heading1">
    <w:name w:val="heading 1"/>
    <w:basedOn w:val="Normal"/>
    <w:next w:val="Normal"/>
    <w:link w:val="Heading1Char"/>
    <w:uiPriority w:val="9"/>
    <w:qFormat/>
    <w:rsid w:val="0062211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2211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22118"/>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622118"/>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622118"/>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622118"/>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622118"/>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6221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221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rsid w:val="00023E0E"/>
    <w:pPr>
      <w:ind w:left="341"/>
    </w:pPr>
    <w:rPr>
      <w:rFonts w:ascii="Calibri" w:eastAsia="Calibri" w:hAnsi="Calibri"/>
      <w:sz w:val="22"/>
      <w:szCs w:val="22"/>
    </w:rPr>
  </w:style>
  <w:style w:type="paragraph" w:styleId="BodyText">
    <w:name w:val="Body Text"/>
    <w:basedOn w:val="Normal"/>
    <w:uiPriority w:val="1"/>
    <w:rsid w:val="00023E0E"/>
    <w:pPr>
      <w:ind w:left="120"/>
    </w:pPr>
    <w:rPr>
      <w:rFonts w:ascii="Calibri" w:eastAsia="Calibri" w:hAnsi="Calibri"/>
      <w:sz w:val="22"/>
      <w:szCs w:val="22"/>
    </w:rPr>
  </w:style>
  <w:style w:type="paragraph" w:styleId="ListParagraph">
    <w:name w:val="List Paragraph"/>
    <w:basedOn w:val="Normal"/>
    <w:uiPriority w:val="34"/>
    <w:qFormat/>
    <w:rsid w:val="00023E0E"/>
    <w:pPr>
      <w:ind w:left="720"/>
      <w:contextualSpacing/>
    </w:pPr>
  </w:style>
  <w:style w:type="paragraph" w:customStyle="1" w:styleId="TableParagraph">
    <w:name w:val="Table Paragraph"/>
    <w:basedOn w:val="Normal"/>
    <w:uiPriority w:val="1"/>
    <w:rsid w:val="00023E0E"/>
  </w:style>
  <w:style w:type="character" w:customStyle="1" w:styleId="Heading1Char">
    <w:name w:val="Heading 1 Char"/>
    <w:basedOn w:val="DefaultParagraphFont"/>
    <w:link w:val="Heading1"/>
    <w:uiPriority w:val="9"/>
    <w:rsid w:val="00622118"/>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622118"/>
    <w:rPr>
      <w:caps/>
      <w:spacing w:val="15"/>
      <w:shd w:val="clear" w:color="auto" w:fill="DBE5F1" w:themeFill="accent1" w:themeFillTint="33"/>
    </w:rPr>
  </w:style>
  <w:style w:type="character" w:customStyle="1" w:styleId="Heading3Char">
    <w:name w:val="Heading 3 Char"/>
    <w:basedOn w:val="DefaultParagraphFont"/>
    <w:link w:val="Heading3"/>
    <w:uiPriority w:val="9"/>
    <w:rsid w:val="00622118"/>
    <w:rPr>
      <w:caps/>
      <w:color w:val="243F60" w:themeColor="accent1" w:themeShade="7F"/>
      <w:spacing w:val="15"/>
    </w:rPr>
  </w:style>
  <w:style w:type="character" w:customStyle="1" w:styleId="Heading4Char">
    <w:name w:val="Heading 4 Char"/>
    <w:basedOn w:val="DefaultParagraphFont"/>
    <w:link w:val="Heading4"/>
    <w:uiPriority w:val="9"/>
    <w:rsid w:val="00622118"/>
    <w:rPr>
      <w:caps/>
      <w:color w:val="365F91" w:themeColor="accent1" w:themeShade="BF"/>
      <w:spacing w:val="10"/>
    </w:rPr>
  </w:style>
  <w:style w:type="character" w:customStyle="1" w:styleId="Heading5Char">
    <w:name w:val="Heading 5 Char"/>
    <w:basedOn w:val="DefaultParagraphFont"/>
    <w:link w:val="Heading5"/>
    <w:uiPriority w:val="9"/>
    <w:rsid w:val="00622118"/>
    <w:rPr>
      <w:caps/>
      <w:color w:val="365F91" w:themeColor="accent1" w:themeShade="BF"/>
      <w:spacing w:val="10"/>
    </w:rPr>
  </w:style>
  <w:style w:type="character" w:customStyle="1" w:styleId="Heading6Char">
    <w:name w:val="Heading 6 Char"/>
    <w:basedOn w:val="DefaultParagraphFont"/>
    <w:link w:val="Heading6"/>
    <w:uiPriority w:val="9"/>
    <w:rsid w:val="00622118"/>
    <w:rPr>
      <w:caps/>
      <w:color w:val="365F91" w:themeColor="accent1" w:themeShade="BF"/>
      <w:spacing w:val="10"/>
    </w:rPr>
  </w:style>
  <w:style w:type="character" w:customStyle="1" w:styleId="Heading7Char">
    <w:name w:val="Heading 7 Char"/>
    <w:basedOn w:val="DefaultParagraphFont"/>
    <w:link w:val="Heading7"/>
    <w:uiPriority w:val="9"/>
    <w:semiHidden/>
    <w:rsid w:val="00622118"/>
    <w:rPr>
      <w:caps/>
      <w:color w:val="365F91" w:themeColor="accent1" w:themeShade="BF"/>
      <w:spacing w:val="10"/>
    </w:rPr>
  </w:style>
  <w:style w:type="character" w:customStyle="1" w:styleId="Heading8Char">
    <w:name w:val="Heading 8 Char"/>
    <w:basedOn w:val="DefaultParagraphFont"/>
    <w:link w:val="Heading8"/>
    <w:uiPriority w:val="9"/>
    <w:semiHidden/>
    <w:rsid w:val="00622118"/>
    <w:rPr>
      <w:caps/>
      <w:spacing w:val="10"/>
      <w:sz w:val="18"/>
      <w:szCs w:val="18"/>
    </w:rPr>
  </w:style>
  <w:style w:type="character" w:customStyle="1" w:styleId="Heading9Char">
    <w:name w:val="Heading 9 Char"/>
    <w:basedOn w:val="DefaultParagraphFont"/>
    <w:link w:val="Heading9"/>
    <w:uiPriority w:val="9"/>
    <w:semiHidden/>
    <w:rsid w:val="00622118"/>
    <w:rPr>
      <w:i/>
      <w:iCs/>
      <w:caps/>
      <w:spacing w:val="10"/>
      <w:sz w:val="18"/>
      <w:szCs w:val="18"/>
    </w:rPr>
  </w:style>
  <w:style w:type="paragraph" w:styleId="Caption">
    <w:name w:val="caption"/>
    <w:basedOn w:val="Normal"/>
    <w:next w:val="Normal"/>
    <w:uiPriority w:val="35"/>
    <w:semiHidden/>
    <w:unhideWhenUsed/>
    <w:qFormat/>
    <w:rsid w:val="00622118"/>
    <w:rPr>
      <w:b/>
      <w:bCs/>
      <w:color w:val="365F91" w:themeColor="accent1" w:themeShade="BF"/>
      <w:sz w:val="16"/>
      <w:szCs w:val="16"/>
    </w:rPr>
  </w:style>
  <w:style w:type="paragraph" w:styleId="Title">
    <w:name w:val="Title"/>
    <w:basedOn w:val="Normal"/>
    <w:next w:val="Normal"/>
    <w:link w:val="TitleChar"/>
    <w:uiPriority w:val="10"/>
    <w:qFormat/>
    <w:rsid w:val="00622118"/>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622118"/>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6221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22118"/>
    <w:rPr>
      <w:caps/>
      <w:color w:val="595959" w:themeColor="text1" w:themeTint="A6"/>
      <w:spacing w:val="10"/>
      <w:sz w:val="21"/>
      <w:szCs w:val="21"/>
    </w:rPr>
  </w:style>
  <w:style w:type="character" w:styleId="Strong">
    <w:name w:val="Strong"/>
    <w:uiPriority w:val="22"/>
    <w:qFormat/>
    <w:rsid w:val="00622118"/>
    <w:rPr>
      <w:b/>
      <w:bCs/>
    </w:rPr>
  </w:style>
  <w:style w:type="character" w:styleId="Emphasis">
    <w:name w:val="Emphasis"/>
    <w:uiPriority w:val="20"/>
    <w:qFormat/>
    <w:rsid w:val="00622118"/>
    <w:rPr>
      <w:caps/>
      <w:color w:val="243F60" w:themeColor="accent1" w:themeShade="7F"/>
      <w:spacing w:val="5"/>
    </w:rPr>
  </w:style>
  <w:style w:type="paragraph" w:styleId="NoSpacing">
    <w:name w:val="No Spacing"/>
    <w:uiPriority w:val="1"/>
    <w:qFormat/>
    <w:rsid w:val="00622118"/>
    <w:pPr>
      <w:spacing w:after="0" w:line="240" w:lineRule="auto"/>
    </w:pPr>
  </w:style>
  <w:style w:type="paragraph" w:styleId="Quote">
    <w:name w:val="Quote"/>
    <w:basedOn w:val="Normal"/>
    <w:next w:val="Normal"/>
    <w:link w:val="QuoteChar"/>
    <w:uiPriority w:val="29"/>
    <w:qFormat/>
    <w:rsid w:val="00622118"/>
    <w:rPr>
      <w:i/>
      <w:iCs/>
      <w:sz w:val="24"/>
      <w:szCs w:val="24"/>
    </w:rPr>
  </w:style>
  <w:style w:type="character" w:customStyle="1" w:styleId="QuoteChar">
    <w:name w:val="Quote Char"/>
    <w:basedOn w:val="DefaultParagraphFont"/>
    <w:link w:val="Quote"/>
    <w:uiPriority w:val="29"/>
    <w:rsid w:val="00622118"/>
    <w:rPr>
      <w:i/>
      <w:iCs/>
      <w:sz w:val="24"/>
      <w:szCs w:val="24"/>
    </w:rPr>
  </w:style>
  <w:style w:type="paragraph" w:styleId="IntenseQuote">
    <w:name w:val="Intense Quote"/>
    <w:basedOn w:val="Normal"/>
    <w:next w:val="Normal"/>
    <w:link w:val="IntenseQuoteChar"/>
    <w:uiPriority w:val="30"/>
    <w:qFormat/>
    <w:rsid w:val="00622118"/>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622118"/>
    <w:rPr>
      <w:color w:val="4F81BD" w:themeColor="accent1"/>
      <w:sz w:val="24"/>
      <w:szCs w:val="24"/>
    </w:rPr>
  </w:style>
  <w:style w:type="character" w:styleId="SubtleEmphasis">
    <w:name w:val="Subtle Emphasis"/>
    <w:uiPriority w:val="19"/>
    <w:qFormat/>
    <w:rsid w:val="00622118"/>
    <w:rPr>
      <w:i/>
      <w:iCs/>
      <w:color w:val="243F60" w:themeColor="accent1" w:themeShade="7F"/>
    </w:rPr>
  </w:style>
  <w:style w:type="character" w:styleId="IntenseEmphasis">
    <w:name w:val="Intense Emphasis"/>
    <w:uiPriority w:val="21"/>
    <w:qFormat/>
    <w:rsid w:val="00622118"/>
    <w:rPr>
      <w:b/>
      <w:bCs/>
      <w:caps/>
      <w:color w:val="243F60" w:themeColor="accent1" w:themeShade="7F"/>
      <w:spacing w:val="10"/>
    </w:rPr>
  </w:style>
  <w:style w:type="character" w:styleId="SubtleReference">
    <w:name w:val="Subtle Reference"/>
    <w:uiPriority w:val="31"/>
    <w:qFormat/>
    <w:rsid w:val="00622118"/>
    <w:rPr>
      <w:b/>
      <w:bCs/>
      <w:color w:val="4F81BD" w:themeColor="accent1"/>
    </w:rPr>
  </w:style>
  <w:style w:type="character" w:styleId="IntenseReference">
    <w:name w:val="Intense Reference"/>
    <w:uiPriority w:val="32"/>
    <w:qFormat/>
    <w:rsid w:val="00622118"/>
    <w:rPr>
      <w:b/>
      <w:bCs/>
      <w:i/>
      <w:iCs/>
      <w:caps/>
      <w:color w:val="4F81BD" w:themeColor="accent1"/>
    </w:rPr>
  </w:style>
  <w:style w:type="character" w:styleId="BookTitle">
    <w:name w:val="Book Title"/>
    <w:uiPriority w:val="33"/>
    <w:qFormat/>
    <w:rsid w:val="00622118"/>
    <w:rPr>
      <w:b/>
      <w:bCs/>
      <w:i/>
      <w:iCs/>
      <w:spacing w:val="0"/>
    </w:rPr>
  </w:style>
  <w:style w:type="paragraph" w:styleId="TOCHeading">
    <w:name w:val="TOC Heading"/>
    <w:basedOn w:val="Heading1"/>
    <w:next w:val="Normal"/>
    <w:uiPriority w:val="39"/>
    <w:unhideWhenUsed/>
    <w:qFormat/>
    <w:rsid w:val="00622118"/>
    <w:pPr>
      <w:outlineLvl w:val="9"/>
    </w:pPr>
  </w:style>
  <w:style w:type="paragraph" w:styleId="Header">
    <w:name w:val="header"/>
    <w:basedOn w:val="Normal"/>
    <w:link w:val="HeaderChar"/>
    <w:uiPriority w:val="99"/>
    <w:unhideWhenUsed/>
    <w:rsid w:val="00A60A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0AF6"/>
  </w:style>
  <w:style w:type="paragraph" w:styleId="Footer">
    <w:name w:val="footer"/>
    <w:basedOn w:val="Normal"/>
    <w:link w:val="FooterChar"/>
    <w:uiPriority w:val="99"/>
    <w:unhideWhenUsed/>
    <w:rsid w:val="00A60AF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0AF6"/>
  </w:style>
  <w:style w:type="character" w:styleId="Hyperlink">
    <w:name w:val="Hyperlink"/>
    <w:basedOn w:val="DefaultParagraphFont"/>
    <w:uiPriority w:val="99"/>
    <w:unhideWhenUsed/>
    <w:rsid w:val="00870E93"/>
    <w:rPr>
      <w:color w:val="0000FF" w:themeColor="hyperlink"/>
      <w:u w:val="single"/>
    </w:rPr>
  </w:style>
  <w:style w:type="table" w:styleId="TableGrid">
    <w:name w:val="Table Grid"/>
    <w:basedOn w:val="TableNormal"/>
    <w:uiPriority w:val="39"/>
    <w:rsid w:val="007744B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27538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6571A"/>
    <w:rPr>
      <w:sz w:val="16"/>
      <w:szCs w:val="16"/>
    </w:rPr>
  </w:style>
  <w:style w:type="paragraph" w:styleId="CommentText">
    <w:name w:val="annotation text"/>
    <w:basedOn w:val="Normal"/>
    <w:link w:val="CommentTextChar"/>
    <w:uiPriority w:val="99"/>
    <w:semiHidden/>
    <w:unhideWhenUsed/>
    <w:rsid w:val="0066571A"/>
    <w:pPr>
      <w:spacing w:line="240" w:lineRule="auto"/>
    </w:pPr>
  </w:style>
  <w:style w:type="character" w:customStyle="1" w:styleId="CommentTextChar">
    <w:name w:val="Comment Text Char"/>
    <w:basedOn w:val="DefaultParagraphFont"/>
    <w:link w:val="CommentText"/>
    <w:uiPriority w:val="99"/>
    <w:semiHidden/>
    <w:rsid w:val="0066571A"/>
  </w:style>
  <w:style w:type="paragraph" w:styleId="CommentSubject">
    <w:name w:val="annotation subject"/>
    <w:basedOn w:val="CommentText"/>
    <w:next w:val="CommentText"/>
    <w:link w:val="CommentSubjectChar"/>
    <w:uiPriority w:val="99"/>
    <w:semiHidden/>
    <w:unhideWhenUsed/>
    <w:rsid w:val="0066571A"/>
    <w:rPr>
      <w:b/>
      <w:bCs/>
    </w:rPr>
  </w:style>
  <w:style w:type="character" w:customStyle="1" w:styleId="CommentSubjectChar">
    <w:name w:val="Comment Subject Char"/>
    <w:basedOn w:val="CommentTextChar"/>
    <w:link w:val="CommentSubject"/>
    <w:uiPriority w:val="99"/>
    <w:semiHidden/>
    <w:rsid w:val="0066571A"/>
    <w:rPr>
      <w:b/>
      <w:bCs/>
    </w:rPr>
  </w:style>
  <w:style w:type="paragraph" w:styleId="BalloonText">
    <w:name w:val="Balloon Text"/>
    <w:basedOn w:val="Normal"/>
    <w:link w:val="BalloonTextChar"/>
    <w:uiPriority w:val="99"/>
    <w:semiHidden/>
    <w:unhideWhenUsed/>
    <w:rsid w:val="006657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71A"/>
    <w:rPr>
      <w:rFonts w:ascii="Segoe UI" w:hAnsi="Segoe UI" w:cs="Segoe UI"/>
      <w:sz w:val="18"/>
      <w:szCs w:val="18"/>
    </w:rPr>
  </w:style>
  <w:style w:type="paragraph" w:styleId="FootnoteText">
    <w:name w:val="footnote text"/>
    <w:basedOn w:val="Normal"/>
    <w:link w:val="FootnoteTextChar"/>
    <w:uiPriority w:val="99"/>
    <w:semiHidden/>
    <w:unhideWhenUsed/>
    <w:rsid w:val="00AF22CA"/>
    <w:pPr>
      <w:spacing w:before="0" w:after="0" w:line="240" w:lineRule="auto"/>
    </w:pPr>
  </w:style>
  <w:style w:type="character" w:customStyle="1" w:styleId="FootnoteTextChar">
    <w:name w:val="Footnote Text Char"/>
    <w:basedOn w:val="DefaultParagraphFont"/>
    <w:link w:val="FootnoteText"/>
    <w:uiPriority w:val="99"/>
    <w:semiHidden/>
    <w:rsid w:val="00AF22CA"/>
  </w:style>
  <w:style w:type="character" w:styleId="FootnoteReference">
    <w:name w:val="footnote reference"/>
    <w:basedOn w:val="DefaultParagraphFont"/>
    <w:uiPriority w:val="99"/>
    <w:semiHidden/>
    <w:unhideWhenUsed/>
    <w:rsid w:val="00AF22CA"/>
    <w:rPr>
      <w:vertAlign w:val="superscript"/>
    </w:rPr>
  </w:style>
  <w:style w:type="paragraph" w:styleId="TOC3">
    <w:name w:val="toc 3"/>
    <w:basedOn w:val="Normal"/>
    <w:next w:val="Normal"/>
    <w:autoRedefine/>
    <w:uiPriority w:val="39"/>
    <w:unhideWhenUsed/>
    <w:rsid w:val="00243CB2"/>
    <w:pPr>
      <w:spacing w:after="100"/>
      <w:ind w:left="400"/>
    </w:pPr>
  </w:style>
  <w:style w:type="paragraph" w:styleId="TOC2">
    <w:name w:val="toc 2"/>
    <w:basedOn w:val="Normal"/>
    <w:next w:val="Normal"/>
    <w:autoRedefine/>
    <w:uiPriority w:val="39"/>
    <w:unhideWhenUsed/>
    <w:rsid w:val="00243CB2"/>
    <w:pPr>
      <w:spacing w:after="100"/>
      <w:ind w:left="200"/>
    </w:pPr>
  </w:style>
  <w:style w:type="table" w:customStyle="1" w:styleId="GridTable3-Accent11">
    <w:name w:val="Grid Table 3 - Accent 11"/>
    <w:basedOn w:val="TableNormal"/>
    <w:uiPriority w:val="48"/>
    <w:rsid w:val="00116C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651">
      <w:bodyDiv w:val="1"/>
      <w:marLeft w:val="0"/>
      <w:marRight w:val="0"/>
      <w:marTop w:val="0"/>
      <w:marBottom w:val="0"/>
      <w:divBdr>
        <w:top w:val="none" w:sz="0" w:space="0" w:color="auto"/>
        <w:left w:val="none" w:sz="0" w:space="0" w:color="auto"/>
        <w:bottom w:val="none" w:sz="0" w:space="0" w:color="auto"/>
        <w:right w:val="none" w:sz="0" w:space="0" w:color="auto"/>
      </w:divBdr>
    </w:div>
    <w:div w:id="45220800">
      <w:bodyDiv w:val="1"/>
      <w:marLeft w:val="0"/>
      <w:marRight w:val="0"/>
      <w:marTop w:val="0"/>
      <w:marBottom w:val="0"/>
      <w:divBdr>
        <w:top w:val="none" w:sz="0" w:space="0" w:color="auto"/>
        <w:left w:val="none" w:sz="0" w:space="0" w:color="auto"/>
        <w:bottom w:val="none" w:sz="0" w:space="0" w:color="auto"/>
        <w:right w:val="none" w:sz="0" w:space="0" w:color="auto"/>
      </w:divBdr>
    </w:div>
    <w:div w:id="61565515">
      <w:bodyDiv w:val="1"/>
      <w:marLeft w:val="0"/>
      <w:marRight w:val="0"/>
      <w:marTop w:val="0"/>
      <w:marBottom w:val="0"/>
      <w:divBdr>
        <w:top w:val="none" w:sz="0" w:space="0" w:color="auto"/>
        <w:left w:val="none" w:sz="0" w:space="0" w:color="auto"/>
        <w:bottom w:val="none" w:sz="0" w:space="0" w:color="auto"/>
        <w:right w:val="none" w:sz="0" w:space="0" w:color="auto"/>
      </w:divBdr>
    </w:div>
    <w:div w:id="276836017">
      <w:bodyDiv w:val="1"/>
      <w:marLeft w:val="0"/>
      <w:marRight w:val="0"/>
      <w:marTop w:val="0"/>
      <w:marBottom w:val="0"/>
      <w:divBdr>
        <w:top w:val="none" w:sz="0" w:space="0" w:color="auto"/>
        <w:left w:val="none" w:sz="0" w:space="0" w:color="auto"/>
        <w:bottom w:val="none" w:sz="0" w:space="0" w:color="auto"/>
        <w:right w:val="none" w:sz="0" w:space="0" w:color="auto"/>
      </w:divBdr>
    </w:div>
    <w:div w:id="299767275">
      <w:bodyDiv w:val="1"/>
      <w:marLeft w:val="0"/>
      <w:marRight w:val="0"/>
      <w:marTop w:val="0"/>
      <w:marBottom w:val="0"/>
      <w:divBdr>
        <w:top w:val="none" w:sz="0" w:space="0" w:color="auto"/>
        <w:left w:val="none" w:sz="0" w:space="0" w:color="auto"/>
        <w:bottom w:val="none" w:sz="0" w:space="0" w:color="auto"/>
        <w:right w:val="none" w:sz="0" w:space="0" w:color="auto"/>
      </w:divBdr>
    </w:div>
    <w:div w:id="824735416">
      <w:bodyDiv w:val="1"/>
      <w:marLeft w:val="0"/>
      <w:marRight w:val="0"/>
      <w:marTop w:val="0"/>
      <w:marBottom w:val="0"/>
      <w:divBdr>
        <w:top w:val="none" w:sz="0" w:space="0" w:color="auto"/>
        <w:left w:val="none" w:sz="0" w:space="0" w:color="auto"/>
        <w:bottom w:val="none" w:sz="0" w:space="0" w:color="auto"/>
        <w:right w:val="none" w:sz="0" w:space="0" w:color="auto"/>
      </w:divBdr>
    </w:div>
    <w:div w:id="912814228">
      <w:bodyDiv w:val="1"/>
      <w:marLeft w:val="0"/>
      <w:marRight w:val="0"/>
      <w:marTop w:val="0"/>
      <w:marBottom w:val="0"/>
      <w:divBdr>
        <w:top w:val="none" w:sz="0" w:space="0" w:color="auto"/>
        <w:left w:val="none" w:sz="0" w:space="0" w:color="auto"/>
        <w:bottom w:val="none" w:sz="0" w:space="0" w:color="auto"/>
        <w:right w:val="none" w:sz="0" w:space="0" w:color="auto"/>
      </w:divBdr>
    </w:div>
    <w:div w:id="988092414">
      <w:bodyDiv w:val="1"/>
      <w:marLeft w:val="0"/>
      <w:marRight w:val="0"/>
      <w:marTop w:val="0"/>
      <w:marBottom w:val="0"/>
      <w:divBdr>
        <w:top w:val="none" w:sz="0" w:space="0" w:color="auto"/>
        <w:left w:val="none" w:sz="0" w:space="0" w:color="auto"/>
        <w:bottom w:val="none" w:sz="0" w:space="0" w:color="auto"/>
        <w:right w:val="none" w:sz="0" w:space="0" w:color="auto"/>
      </w:divBdr>
    </w:div>
    <w:div w:id="1115370234">
      <w:bodyDiv w:val="1"/>
      <w:marLeft w:val="0"/>
      <w:marRight w:val="0"/>
      <w:marTop w:val="0"/>
      <w:marBottom w:val="0"/>
      <w:divBdr>
        <w:top w:val="none" w:sz="0" w:space="0" w:color="auto"/>
        <w:left w:val="none" w:sz="0" w:space="0" w:color="auto"/>
        <w:bottom w:val="none" w:sz="0" w:space="0" w:color="auto"/>
        <w:right w:val="none" w:sz="0" w:space="0" w:color="auto"/>
      </w:divBdr>
    </w:div>
    <w:div w:id="1238979837">
      <w:bodyDiv w:val="1"/>
      <w:marLeft w:val="0"/>
      <w:marRight w:val="0"/>
      <w:marTop w:val="0"/>
      <w:marBottom w:val="0"/>
      <w:divBdr>
        <w:top w:val="none" w:sz="0" w:space="0" w:color="auto"/>
        <w:left w:val="none" w:sz="0" w:space="0" w:color="auto"/>
        <w:bottom w:val="none" w:sz="0" w:space="0" w:color="auto"/>
        <w:right w:val="none" w:sz="0" w:space="0" w:color="auto"/>
      </w:divBdr>
    </w:div>
    <w:div w:id="1505318248">
      <w:bodyDiv w:val="1"/>
      <w:marLeft w:val="0"/>
      <w:marRight w:val="0"/>
      <w:marTop w:val="0"/>
      <w:marBottom w:val="0"/>
      <w:divBdr>
        <w:top w:val="none" w:sz="0" w:space="0" w:color="auto"/>
        <w:left w:val="none" w:sz="0" w:space="0" w:color="auto"/>
        <w:bottom w:val="none" w:sz="0" w:space="0" w:color="auto"/>
        <w:right w:val="none" w:sz="0" w:space="0" w:color="auto"/>
      </w:divBdr>
    </w:div>
    <w:div w:id="1630359793">
      <w:bodyDiv w:val="1"/>
      <w:marLeft w:val="0"/>
      <w:marRight w:val="0"/>
      <w:marTop w:val="0"/>
      <w:marBottom w:val="0"/>
      <w:divBdr>
        <w:top w:val="none" w:sz="0" w:space="0" w:color="auto"/>
        <w:left w:val="none" w:sz="0" w:space="0" w:color="auto"/>
        <w:bottom w:val="none" w:sz="0" w:space="0" w:color="auto"/>
        <w:right w:val="none" w:sz="0" w:space="0" w:color="auto"/>
      </w:divBdr>
    </w:div>
    <w:div w:id="1669213172">
      <w:bodyDiv w:val="1"/>
      <w:marLeft w:val="0"/>
      <w:marRight w:val="0"/>
      <w:marTop w:val="0"/>
      <w:marBottom w:val="0"/>
      <w:divBdr>
        <w:top w:val="none" w:sz="0" w:space="0" w:color="auto"/>
        <w:left w:val="none" w:sz="0" w:space="0" w:color="auto"/>
        <w:bottom w:val="none" w:sz="0" w:space="0" w:color="auto"/>
        <w:right w:val="none" w:sz="0" w:space="0" w:color="auto"/>
      </w:divBdr>
    </w:div>
    <w:div w:id="1743412090">
      <w:bodyDiv w:val="1"/>
      <w:marLeft w:val="0"/>
      <w:marRight w:val="0"/>
      <w:marTop w:val="0"/>
      <w:marBottom w:val="0"/>
      <w:divBdr>
        <w:top w:val="none" w:sz="0" w:space="0" w:color="auto"/>
        <w:left w:val="none" w:sz="0" w:space="0" w:color="auto"/>
        <w:bottom w:val="none" w:sz="0" w:space="0" w:color="auto"/>
        <w:right w:val="none" w:sz="0" w:space="0" w:color="auto"/>
      </w:divBdr>
    </w:div>
    <w:div w:id="1795323244">
      <w:bodyDiv w:val="1"/>
      <w:marLeft w:val="0"/>
      <w:marRight w:val="0"/>
      <w:marTop w:val="0"/>
      <w:marBottom w:val="0"/>
      <w:divBdr>
        <w:top w:val="none" w:sz="0" w:space="0" w:color="auto"/>
        <w:left w:val="none" w:sz="0" w:space="0" w:color="auto"/>
        <w:bottom w:val="none" w:sz="0" w:space="0" w:color="auto"/>
        <w:right w:val="none" w:sz="0" w:space="0" w:color="auto"/>
      </w:divBdr>
    </w:div>
    <w:div w:id="1810198673">
      <w:bodyDiv w:val="1"/>
      <w:marLeft w:val="0"/>
      <w:marRight w:val="0"/>
      <w:marTop w:val="0"/>
      <w:marBottom w:val="0"/>
      <w:divBdr>
        <w:top w:val="none" w:sz="0" w:space="0" w:color="auto"/>
        <w:left w:val="none" w:sz="0" w:space="0" w:color="auto"/>
        <w:bottom w:val="none" w:sz="0" w:space="0" w:color="auto"/>
        <w:right w:val="none" w:sz="0" w:space="0" w:color="auto"/>
      </w:divBdr>
    </w:div>
    <w:div w:id="1866476629">
      <w:bodyDiv w:val="1"/>
      <w:marLeft w:val="0"/>
      <w:marRight w:val="0"/>
      <w:marTop w:val="0"/>
      <w:marBottom w:val="0"/>
      <w:divBdr>
        <w:top w:val="none" w:sz="0" w:space="0" w:color="auto"/>
        <w:left w:val="none" w:sz="0" w:space="0" w:color="auto"/>
        <w:bottom w:val="none" w:sz="0" w:space="0" w:color="auto"/>
        <w:right w:val="none" w:sz="0" w:space="0" w:color="auto"/>
      </w:divBdr>
    </w:div>
    <w:div w:id="1872185253">
      <w:bodyDiv w:val="1"/>
      <w:marLeft w:val="0"/>
      <w:marRight w:val="0"/>
      <w:marTop w:val="0"/>
      <w:marBottom w:val="0"/>
      <w:divBdr>
        <w:top w:val="none" w:sz="0" w:space="0" w:color="auto"/>
        <w:left w:val="none" w:sz="0" w:space="0" w:color="auto"/>
        <w:bottom w:val="none" w:sz="0" w:space="0" w:color="auto"/>
        <w:right w:val="none" w:sz="0" w:space="0" w:color="auto"/>
      </w:divBdr>
    </w:div>
    <w:div w:id="1932002340">
      <w:bodyDiv w:val="1"/>
      <w:marLeft w:val="0"/>
      <w:marRight w:val="0"/>
      <w:marTop w:val="0"/>
      <w:marBottom w:val="0"/>
      <w:divBdr>
        <w:top w:val="none" w:sz="0" w:space="0" w:color="auto"/>
        <w:left w:val="none" w:sz="0" w:space="0" w:color="auto"/>
        <w:bottom w:val="none" w:sz="0" w:space="0" w:color="auto"/>
        <w:right w:val="none" w:sz="0" w:space="0" w:color="auto"/>
      </w:divBdr>
    </w:div>
    <w:div w:id="2052683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381A-FBA0-4585-ADE0-66A64A7E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5203</Words>
  <Characters>29662</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dc:creator>
  <cp:lastModifiedBy>Danny Peltier</cp:lastModifiedBy>
  <cp:revision>2</cp:revision>
  <dcterms:created xsi:type="dcterms:W3CDTF">2017-02-24T16:27:00Z</dcterms:created>
  <dcterms:modified xsi:type="dcterms:W3CDTF">2017-02-24T16:27:00Z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2015-03-02T00:00:00Z</vt:filetime>
  </property>
  <property fmtid="{D5CDD505-2E9C-101B-9397-08002B2CF9AE}" pid="3" name="Creator">
    <vt:lpwstr>Google</vt:lpwstr>
  </property>
  <property fmtid="{D5CDD505-2E9C-101B-9397-08002B2CF9AE}" pid="4" name="LastSaved">
    <vt:filetime>2015-03-02T00:00:00Z</vt:filetime>
  </property>
</Properties>
</file>